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5"/>
        <w:tblW w:w="13585" w:type="dxa"/>
        <w:tblLook w:val="04A0" w:firstRow="1" w:lastRow="0" w:firstColumn="1" w:lastColumn="0" w:noHBand="0" w:noVBand="1"/>
      </w:tblPr>
      <w:tblGrid>
        <w:gridCol w:w="3685"/>
        <w:gridCol w:w="4950"/>
        <w:gridCol w:w="4950"/>
      </w:tblGrid>
      <w:tr w:rsidR="00424B82" w:rsidRPr="00B73618" w14:paraId="51ED6D30" w14:textId="77777777" w:rsidTr="00743E21">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3685" w:type="dxa"/>
          </w:tcPr>
          <w:p w14:paraId="10813A9E" w14:textId="0893D9F8" w:rsidR="00424B82" w:rsidRPr="00424B82" w:rsidRDefault="00424B82" w:rsidP="00424B82">
            <w:pPr>
              <w:rPr>
                <w:rFonts w:ascii="Gill Sans MT" w:eastAsia="Times New Roman" w:hAnsi="Gill Sans MT" w:cs="Calibri Light"/>
                <w:sz w:val="20"/>
                <w:szCs w:val="20"/>
              </w:rPr>
            </w:pPr>
            <w:r>
              <w:rPr>
                <w:rFonts w:ascii="Gill Sans MT" w:eastAsia="Times New Roman" w:hAnsi="Gill Sans MT" w:cs="Calibri Light"/>
                <w:sz w:val="20"/>
                <w:szCs w:val="20"/>
              </w:rPr>
              <w:t>Recommendation</w:t>
            </w:r>
            <w:r w:rsidRPr="00424B82">
              <w:rPr>
                <w:rFonts w:ascii="Gill Sans MT" w:eastAsia="Times New Roman" w:hAnsi="Gill Sans MT" w:cs="Calibri Light"/>
                <w:sz w:val="20"/>
                <w:szCs w:val="20"/>
              </w:rPr>
              <w:t xml:space="preserve"> </w:t>
            </w:r>
          </w:p>
        </w:tc>
        <w:tc>
          <w:tcPr>
            <w:tcW w:w="4950" w:type="dxa"/>
            <w:hideMark/>
          </w:tcPr>
          <w:p w14:paraId="7B9DF415" w14:textId="0A1CF9A2" w:rsidR="00424B82" w:rsidRPr="00936DBC" w:rsidRDefault="00424B82" w:rsidP="00424B82">
            <w:pP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Light"/>
                <w:sz w:val="20"/>
                <w:szCs w:val="20"/>
              </w:rPr>
            </w:pPr>
            <w:r>
              <w:rPr>
                <w:rFonts w:ascii="Gill Sans MT" w:eastAsia="Times New Roman" w:hAnsi="Gill Sans MT" w:cs="Calibri Light"/>
                <w:sz w:val="20"/>
                <w:szCs w:val="20"/>
              </w:rPr>
              <w:t>Detailed Version of Recommendation</w:t>
            </w:r>
          </w:p>
        </w:tc>
        <w:tc>
          <w:tcPr>
            <w:tcW w:w="4950" w:type="dxa"/>
            <w:hideMark/>
          </w:tcPr>
          <w:p w14:paraId="531D0719" w14:textId="4737C2A7" w:rsidR="00424B82" w:rsidRPr="00936DBC" w:rsidRDefault="00424B82" w:rsidP="00424B82">
            <w:pP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Light"/>
                <w:sz w:val="20"/>
                <w:szCs w:val="20"/>
              </w:rPr>
            </w:pPr>
            <w:r w:rsidRPr="00936DBC">
              <w:rPr>
                <w:rFonts w:ascii="Gill Sans MT" w:eastAsia="Times New Roman" w:hAnsi="Gill Sans MT" w:cs="Calibri Light"/>
                <w:sz w:val="20"/>
                <w:szCs w:val="20"/>
              </w:rPr>
              <w:t>Notes and updates, possible roles for CHAT</w:t>
            </w:r>
            <w:r>
              <w:rPr>
                <w:rFonts w:ascii="Gill Sans MT" w:eastAsia="Times New Roman" w:hAnsi="Gill Sans MT" w:cs="Calibri Light"/>
                <w:sz w:val="20"/>
                <w:szCs w:val="20"/>
              </w:rPr>
              <w:t>,</w:t>
            </w:r>
            <w:r w:rsidRPr="00B73618">
              <w:rPr>
                <w:rFonts w:ascii="Gill Sans MT" w:eastAsia="Times New Roman" w:hAnsi="Gill Sans MT" w:cs="Calibri Light"/>
                <w:sz w:val="20"/>
                <w:szCs w:val="20"/>
              </w:rPr>
              <w:t xml:space="preserve"> and next steps</w:t>
            </w:r>
          </w:p>
        </w:tc>
      </w:tr>
      <w:tr w:rsidR="00DE3EC0" w:rsidRPr="00B73618" w14:paraId="79423190" w14:textId="77777777" w:rsidTr="00743E21">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13585" w:type="dxa"/>
            <w:gridSpan w:val="3"/>
            <w:shd w:val="clear" w:color="auto" w:fill="auto"/>
          </w:tcPr>
          <w:p w14:paraId="0ECD6902" w14:textId="6E794B67" w:rsidR="00DE3EC0" w:rsidRPr="00743E21" w:rsidRDefault="00DE3EC0" w:rsidP="00424B82">
            <w:pPr>
              <w:rPr>
                <w:rFonts w:ascii="Gill Sans MT" w:eastAsia="Times New Roman" w:hAnsi="Gill Sans MT" w:cs="Calibri Light"/>
                <w:i/>
                <w:iCs/>
                <w:sz w:val="20"/>
                <w:szCs w:val="20"/>
              </w:rPr>
            </w:pPr>
            <w:r w:rsidRPr="00743E21">
              <w:rPr>
                <w:rFonts w:ascii="Gill Sans MT" w:hAnsi="Gill Sans MT"/>
                <w:b w:val="0"/>
                <w:bCs w:val="0"/>
                <w:i/>
                <w:iCs/>
                <w:color w:val="auto"/>
                <w:sz w:val="16"/>
                <w:szCs w:val="16"/>
              </w:rPr>
              <w:t>These recommendations are subject to modification based on input from staff, board and commission members, and the public</w:t>
            </w:r>
            <w:r w:rsidR="00743E21" w:rsidRPr="00743E21">
              <w:rPr>
                <w:rFonts w:ascii="Gill Sans MT" w:hAnsi="Gill Sans MT"/>
                <w:b w:val="0"/>
                <w:bCs w:val="0"/>
                <w:i/>
                <w:iCs/>
                <w:color w:val="auto"/>
                <w:sz w:val="16"/>
                <w:szCs w:val="16"/>
              </w:rPr>
              <w:t>. CHAT may also propose revisions.</w:t>
            </w:r>
            <w:r w:rsidRPr="00743E21">
              <w:rPr>
                <w:rFonts w:ascii="Gill Sans MT" w:hAnsi="Gill Sans MT"/>
                <w:b w:val="0"/>
                <w:bCs w:val="0"/>
                <w:i/>
                <w:iCs/>
                <w:color w:val="auto"/>
                <w:sz w:val="16"/>
                <w:szCs w:val="16"/>
              </w:rPr>
              <w:t xml:space="preserve"> Order of recommendations does not indicate priority.</w:t>
            </w:r>
          </w:p>
        </w:tc>
      </w:tr>
      <w:tr w:rsidR="00424B82" w:rsidRPr="00B73618" w14:paraId="3F0945D0" w14:textId="77777777" w:rsidTr="00743E2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828288" w:themeColor="accent5"/>
              <w:left w:val="single" w:sz="4" w:space="0" w:color="828288" w:themeColor="accent5"/>
              <w:right w:val="nil"/>
            </w:tcBorders>
          </w:tcPr>
          <w:p w14:paraId="11EE94C4" w14:textId="204F1282" w:rsidR="00424B82" w:rsidRPr="00424B82" w:rsidRDefault="00424B82" w:rsidP="00424B82">
            <w:pPr>
              <w:rPr>
                <w:rFonts w:ascii="Gill Sans MT" w:eastAsia="Times New Roman" w:hAnsi="Gill Sans MT" w:cs="Calibri Light"/>
                <w:b w:val="0"/>
                <w:bCs w:val="0"/>
                <w:color w:val="00B0F0"/>
                <w:sz w:val="20"/>
                <w:szCs w:val="20"/>
              </w:rPr>
            </w:pPr>
            <w:r w:rsidRPr="00936DBC">
              <w:rPr>
                <w:rFonts w:ascii="Gill Sans MT" w:eastAsia="Times New Roman" w:hAnsi="Gill Sans MT" w:cs="Calibri Light"/>
                <w:color w:val="00B0F0"/>
                <w:sz w:val="20"/>
                <w:szCs w:val="20"/>
              </w:rPr>
              <w:t>Outreach, Engagement &amp; Education</w:t>
            </w:r>
          </w:p>
        </w:tc>
        <w:tc>
          <w:tcPr>
            <w:tcW w:w="4950" w:type="dxa"/>
            <w:tcBorders>
              <w:top w:val="single" w:sz="4" w:space="0" w:color="828288" w:themeColor="accent5"/>
              <w:left w:val="nil"/>
              <w:right w:val="nil"/>
            </w:tcBorders>
          </w:tcPr>
          <w:p w14:paraId="5CEED975" w14:textId="2CA064FD" w:rsidR="00424B82" w:rsidRPr="00936DBC" w:rsidRDefault="00424B82" w:rsidP="00424B82">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Light"/>
                <w:b/>
                <w:bCs/>
                <w:sz w:val="20"/>
                <w:szCs w:val="20"/>
              </w:rPr>
            </w:pPr>
          </w:p>
        </w:tc>
        <w:tc>
          <w:tcPr>
            <w:tcW w:w="4950" w:type="dxa"/>
            <w:tcBorders>
              <w:top w:val="single" w:sz="4" w:space="0" w:color="828288" w:themeColor="accent5"/>
              <w:left w:val="nil"/>
              <w:right w:val="single" w:sz="4" w:space="0" w:color="828288" w:themeColor="accent5"/>
            </w:tcBorders>
          </w:tcPr>
          <w:p w14:paraId="154CD161" w14:textId="77777777" w:rsidR="00424B82" w:rsidRPr="00936DBC" w:rsidRDefault="00424B82" w:rsidP="00424B82">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Light"/>
                <w:sz w:val="20"/>
                <w:szCs w:val="20"/>
              </w:rPr>
            </w:pPr>
          </w:p>
        </w:tc>
      </w:tr>
      <w:tr w:rsidR="00424B82" w:rsidRPr="00B73618" w14:paraId="479B35B3" w14:textId="77777777" w:rsidTr="00743E21">
        <w:trPr>
          <w:trHeight w:val="1268"/>
        </w:trPr>
        <w:tc>
          <w:tcPr>
            <w:cnfStyle w:val="001000000000" w:firstRow="0" w:lastRow="0" w:firstColumn="1" w:lastColumn="0" w:oddVBand="0" w:evenVBand="0" w:oddHBand="0" w:evenHBand="0" w:firstRowFirstColumn="0" w:firstRowLastColumn="0" w:lastRowFirstColumn="0" w:lastRowLastColumn="0"/>
            <w:tcW w:w="3685" w:type="dxa"/>
            <w:tcBorders>
              <w:bottom w:val="single" w:sz="4" w:space="0" w:color="B3B3B7" w:themeColor="accent5" w:themeTint="99"/>
            </w:tcBorders>
          </w:tcPr>
          <w:p w14:paraId="04766ECF" w14:textId="500F2D30" w:rsidR="00424B82" w:rsidRPr="00424B82" w:rsidRDefault="00424B82" w:rsidP="00424B82">
            <w:pPr>
              <w:rPr>
                <w:rFonts w:ascii="Gill Sans MT" w:eastAsia="Times New Roman" w:hAnsi="Gill Sans MT" w:cs="Calibri Light"/>
                <w:b w:val="0"/>
                <w:bCs w:val="0"/>
                <w:sz w:val="20"/>
                <w:szCs w:val="20"/>
              </w:rPr>
            </w:pPr>
            <w:r w:rsidRPr="00424B82">
              <w:rPr>
                <w:rFonts w:ascii="Gill Sans MT" w:eastAsia="Times New Roman" w:hAnsi="Gill Sans MT" w:cs="Calibri Light"/>
                <w:b w:val="0"/>
                <w:bCs w:val="0"/>
                <w:sz w:val="20"/>
                <w:szCs w:val="20"/>
              </w:rPr>
              <w:t xml:space="preserve">Increase efforts to engage and inform the community of flood hazards, vulnerability, and opportunities to increase resilience. </w:t>
            </w:r>
          </w:p>
        </w:tc>
        <w:tc>
          <w:tcPr>
            <w:tcW w:w="4950" w:type="dxa"/>
            <w:tcBorders>
              <w:bottom w:val="single" w:sz="4" w:space="0" w:color="B3B3B7" w:themeColor="accent5" w:themeTint="99"/>
            </w:tcBorders>
          </w:tcPr>
          <w:p w14:paraId="17B04E39" w14:textId="658B46CC" w:rsidR="00424B82" w:rsidRPr="00B73618" w:rsidRDefault="00424B82" w:rsidP="00424B82">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Light"/>
                <w:b/>
                <w:bCs/>
                <w:sz w:val="20"/>
                <w:szCs w:val="20"/>
              </w:rPr>
            </w:pPr>
            <w:r w:rsidRPr="00936DBC">
              <w:rPr>
                <w:rFonts w:ascii="Gill Sans MT" w:eastAsia="Times New Roman" w:hAnsi="Gill Sans MT" w:cs="Calibri Light"/>
                <w:sz w:val="20"/>
                <w:szCs w:val="20"/>
              </w:rPr>
              <w:t xml:space="preserve">Continue and enhance public outreach efforts to engage and inform community members of flood hazards, vulnerability, and opportunities to increase resiliency and to solicit input from residents. </w:t>
            </w:r>
          </w:p>
        </w:tc>
        <w:tc>
          <w:tcPr>
            <w:tcW w:w="4950" w:type="dxa"/>
            <w:tcBorders>
              <w:bottom w:val="single" w:sz="4" w:space="0" w:color="B3B3B7" w:themeColor="accent5" w:themeTint="99"/>
            </w:tcBorders>
          </w:tcPr>
          <w:p w14:paraId="694FA3B5" w14:textId="77777777" w:rsidR="00424B82" w:rsidRPr="00B73618" w:rsidRDefault="00424B82" w:rsidP="00424B82">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Light"/>
                <w:sz w:val="20"/>
                <w:szCs w:val="20"/>
              </w:rPr>
            </w:pPr>
            <w:r w:rsidRPr="00936DBC">
              <w:rPr>
                <w:rFonts w:ascii="Gill Sans MT" w:eastAsia="Times New Roman" w:hAnsi="Gill Sans MT" w:cs="Calibri Light"/>
                <w:sz w:val="20"/>
                <w:szCs w:val="20"/>
              </w:rPr>
              <w:t xml:space="preserve">Sept 2022 update: CHAT's Strategic Engagement Plan has been drafted and implementation has commenced. </w:t>
            </w:r>
          </w:p>
          <w:p w14:paraId="2F484713" w14:textId="77777777" w:rsidR="00424B82" w:rsidRPr="00B73618" w:rsidRDefault="00424B82" w:rsidP="00424B82">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Light"/>
                <w:sz w:val="20"/>
                <w:szCs w:val="20"/>
              </w:rPr>
            </w:pPr>
          </w:p>
          <w:p w14:paraId="15BE7BAC" w14:textId="02DB6219" w:rsidR="00424B82" w:rsidRPr="00B73618" w:rsidRDefault="00424B82" w:rsidP="00424B82">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Light"/>
                <w:sz w:val="20"/>
                <w:szCs w:val="20"/>
              </w:rPr>
            </w:pPr>
            <w:r w:rsidRPr="00B73618">
              <w:rPr>
                <w:rFonts w:ascii="Gill Sans MT" w:eastAsia="Times New Roman" w:hAnsi="Gill Sans MT" w:cs="Calibri Light"/>
                <w:sz w:val="20"/>
                <w:szCs w:val="20"/>
              </w:rPr>
              <w:t xml:space="preserve">Next steps: </w:t>
            </w:r>
            <w:r w:rsidRPr="00936DBC">
              <w:rPr>
                <w:rFonts w:ascii="Gill Sans MT" w:eastAsia="Times New Roman" w:hAnsi="Gill Sans MT" w:cs="Calibri Light"/>
                <w:sz w:val="20"/>
                <w:szCs w:val="20"/>
              </w:rPr>
              <w:t>Continue to identify opportunities to share information with and collect information from the public</w:t>
            </w:r>
            <w:r w:rsidRPr="00B73618">
              <w:rPr>
                <w:rFonts w:ascii="Gill Sans MT" w:eastAsia="Times New Roman" w:hAnsi="Gill Sans MT" w:cs="Calibri Light"/>
                <w:sz w:val="20"/>
                <w:szCs w:val="20"/>
              </w:rPr>
              <w:t>.</w:t>
            </w:r>
          </w:p>
        </w:tc>
      </w:tr>
      <w:tr w:rsidR="00424B82" w:rsidRPr="00B73618" w14:paraId="50F3B699" w14:textId="77777777" w:rsidTr="00743E21">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685" w:type="dxa"/>
            <w:tcBorders>
              <w:right w:val="nil"/>
            </w:tcBorders>
          </w:tcPr>
          <w:p w14:paraId="46C93323" w14:textId="5B7A0E9E" w:rsidR="00424B82" w:rsidRPr="00424B82" w:rsidRDefault="00424B82" w:rsidP="00424B82">
            <w:pPr>
              <w:rPr>
                <w:rFonts w:ascii="Gill Sans MT" w:eastAsia="Times New Roman" w:hAnsi="Gill Sans MT" w:cs="Calibri Light"/>
                <w:b w:val="0"/>
                <w:bCs w:val="0"/>
                <w:color w:val="00B0F0"/>
                <w:sz w:val="20"/>
                <w:szCs w:val="20"/>
              </w:rPr>
            </w:pPr>
            <w:r w:rsidRPr="00033700">
              <w:rPr>
                <w:rFonts w:ascii="Gill Sans MT" w:eastAsia="Times New Roman" w:hAnsi="Gill Sans MT" w:cs="Calibri Light"/>
                <w:color w:val="00B0F0"/>
                <w:sz w:val="20"/>
                <w:szCs w:val="20"/>
              </w:rPr>
              <w:t>Floodplain Ordinance</w:t>
            </w:r>
          </w:p>
        </w:tc>
        <w:tc>
          <w:tcPr>
            <w:tcW w:w="4950" w:type="dxa"/>
            <w:tcBorders>
              <w:left w:val="nil"/>
              <w:right w:val="nil"/>
            </w:tcBorders>
          </w:tcPr>
          <w:p w14:paraId="59B32C31" w14:textId="6EA8C427" w:rsidR="00424B82" w:rsidRPr="00936DBC" w:rsidRDefault="00424B82" w:rsidP="00424B82">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Light"/>
                <w:sz w:val="20"/>
                <w:szCs w:val="20"/>
              </w:rPr>
            </w:pPr>
          </w:p>
        </w:tc>
        <w:tc>
          <w:tcPr>
            <w:tcW w:w="4950" w:type="dxa"/>
            <w:tcBorders>
              <w:left w:val="nil"/>
            </w:tcBorders>
          </w:tcPr>
          <w:p w14:paraId="7BC508E8" w14:textId="77777777" w:rsidR="00424B82" w:rsidRPr="00936DBC" w:rsidRDefault="00424B82" w:rsidP="00424B82">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Light"/>
                <w:sz w:val="20"/>
                <w:szCs w:val="20"/>
              </w:rPr>
            </w:pPr>
          </w:p>
        </w:tc>
      </w:tr>
      <w:tr w:rsidR="00424B82" w:rsidRPr="00B73618" w14:paraId="0C5509E1" w14:textId="77777777" w:rsidTr="00743E21">
        <w:trPr>
          <w:trHeight w:val="1988"/>
        </w:trPr>
        <w:tc>
          <w:tcPr>
            <w:cnfStyle w:val="001000000000" w:firstRow="0" w:lastRow="0" w:firstColumn="1" w:lastColumn="0" w:oddVBand="0" w:evenVBand="0" w:oddHBand="0" w:evenHBand="0" w:firstRowFirstColumn="0" w:firstRowLastColumn="0" w:lastRowFirstColumn="0" w:lastRowLastColumn="0"/>
            <w:tcW w:w="3685" w:type="dxa"/>
            <w:tcBorders>
              <w:bottom w:val="single" w:sz="4" w:space="0" w:color="B3B3B7" w:themeColor="accent5" w:themeTint="99"/>
            </w:tcBorders>
          </w:tcPr>
          <w:p w14:paraId="69C5FFA8" w14:textId="714578F4" w:rsidR="00424B82" w:rsidRPr="00424B82" w:rsidRDefault="00424B82" w:rsidP="00424B82">
            <w:pPr>
              <w:rPr>
                <w:rFonts w:ascii="Gill Sans MT" w:eastAsia="Times New Roman" w:hAnsi="Gill Sans MT" w:cs="Calibri Light"/>
                <w:b w:val="0"/>
                <w:bCs w:val="0"/>
                <w:sz w:val="20"/>
                <w:szCs w:val="20"/>
              </w:rPr>
            </w:pPr>
            <w:r w:rsidRPr="00424B82">
              <w:rPr>
                <w:rFonts w:ascii="Gill Sans MT" w:eastAsia="Times New Roman" w:hAnsi="Gill Sans MT" w:cs="Calibri Light"/>
                <w:b w:val="0"/>
                <w:bCs w:val="0"/>
                <w:sz w:val="20"/>
                <w:szCs w:val="20"/>
              </w:rPr>
              <w:t xml:space="preserve">Review the Floodplain Ordinance and draft amendments to reduce vulnerability to flooding. </w:t>
            </w:r>
          </w:p>
        </w:tc>
        <w:tc>
          <w:tcPr>
            <w:tcW w:w="4950" w:type="dxa"/>
            <w:tcBorders>
              <w:bottom w:val="single" w:sz="4" w:space="0" w:color="B3B3B7" w:themeColor="accent5" w:themeTint="99"/>
            </w:tcBorders>
          </w:tcPr>
          <w:p w14:paraId="3F8B97D0" w14:textId="71D4521E" w:rsidR="00424B82" w:rsidRPr="00033700" w:rsidRDefault="00424B82" w:rsidP="00424B82">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Light"/>
                <w:color w:val="00B0F0"/>
                <w:sz w:val="20"/>
                <w:szCs w:val="20"/>
              </w:rPr>
            </w:pPr>
            <w:r w:rsidRPr="00936DBC">
              <w:rPr>
                <w:rFonts w:ascii="Gill Sans MT" w:eastAsia="Times New Roman" w:hAnsi="Gill Sans MT" w:cs="Calibri Light"/>
                <w:sz w:val="20"/>
                <w:szCs w:val="20"/>
              </w:rPr>
              <w:t xml:space="preserve">a.     Prohibit construction of critical facilities within </w:t>
            </w:r>
            <w:proofErr w:type="gramStart"/>
            <w:r w:rsidRPr="00936DBC">
              <w:rPr>
                <w:rFonts w:ascii="Gill Sans MT" w:eastAsia="Times New Roman" w:hAnsi="Gill Sans MT" w:cs="Calibri Light"/>
                <w:sz w:val="20"/>
                <w:szCs w:val="20"/>
              </w:rPr>
              <w:t>high risk</w:t>
            </w:r>
            <w:proofErr w:type="gramEnd"/>
            <w:r w:rsidRPr="00936DBC">
              <w:rPr>
                <w:rFonts w:ascii="Gill Sans MT" w:eastAsia="Times New Roman" w:hAnsi="Gill Sans MT" w:cs="Calibri Light"/>
                <w:sz w:val="20"/>
                <w:szCs w:val="20"/>
              </w:rPr>
              <w:t xml:space="preserve"> Special Flood Hazard Area (SFHA) unless the project has been reviewed using the NH Coastal Flood Risk Guidance and the following criteria are met: (</w:t>
            </w:r>
            <w:proofErr w:type="spellStart"/>
            <w:r w:rsidRPr="00936DBC">
              <w:rPr>
                <w:rFonts w:ascii="Gill Sans MT" w:eastAsia="Times New Roman" w:hAnsi="Gill Sans MT" w:cs="Calibri Light"/>
                <w:sz w:val="20"/>
                <w:szCs w:val="20"/>
              </w:rPr>
              <w:t>i</w:t>
            </w:r>
            <w:proofErr w:type="spellEnd"/>
            <w:r w:rsidRPr="00936DBC">
              <w:rPr>
                <w:rFonts w:ascii="Gill Sans MT" w:eastAsia="Times New Roman" w:hAnsi="Gill Sans MT" w:cs="Calibri Light"/>
                <w:sz w:val="20"/>
                <w:szCs w:val="20"/>
              </w:rPr>
              <w:t xml:space="preserve">) No feasible alternative location exists, (ii) the facility is designed to higher protection standards, (iii) a flood evacuation plan has been developed. </w:t>
            </w:r>
            <w:r w:rsidRPr="00936DBC">
              <w:rPr>
                <w:rFonts w:ascii="Gill Sans MT" w:eastAsia="Times New Roman" w:hAnsi="Gill Sans MT" w:cs="Calibri Light"/>
                <w:sz w:val="20"/>
                <w:szCs w:val="20"/>
              </w:rPr>
              <w:br/>
              <w:t>b.     Prohibit new construction within the SFHA.</w:t>
            </w:r>
            <w:r w:rsidRPr="00936DBC">
              <w:rPr>
                <w:rFonts w:ascii="Gill Sans MT" w:eastAsia="Times New Roman" w:hAnsi="Gill Sans MT" w:cs="Calibri Light"/>
                <w:sz w:val="20"/>
                <w:szCs w:val="20"/>
              </w:rPr>
              <w:br/>
              <w:t xml:space="preserve">c.     Prohibit placement of fill within the SFHA OR require compensatory storage. </w:t>
            </w:r>
            <w:r w:rsidRPr="00936DBC">
              <w:rPr>
                <w:rFonts w:ascii="Gill Sans MT" w:eastAsia="Times New Roman" w:hAnsi="Gill Sans MT" w:cs="Calibri Light"/>
                <w:sz w:val="20"/>
                <w:szCs w:val="20"/>
              </w:rPr>
              <w:br/>
              <w:t>d.     Reduce the substantial improvement threshold from 50% to 40% of the market value of the structure.</w:t>
            </w:r>
            <w:r w:rsidRPr="00936DBC">
              <w:rPr>
                <w:rFonts w:ascii="Gill Sans MT" w:eastAsia="Times New Roman" w:hAnsi="Gill Sans MT" w:cs="Calibri Light"/>
                <w:sz w:val="20"/>
                <w:szCs w:val="20"/>
              </w:rPr>
              <w:br/>
              <w:t>e.     Require that improvements and repairs be tracked cumulatively over a certain time period (</w:t>
            </w:r>
            <w:proofErr w:type="gramStart"/>
            <w:r w:rsidRPr="00936DBC">
              <w:rPr>
                <w:rFonts w:ascii="Gill Sans MT" w:eastAsia="Times New Roman" w:hAnsi="Gill Sans MT" w:cs="Calibri Light"/>
                <w:sz w:val="20"/>
                <w:szCs w:val="20"/>
              </w:rPr>
              <w:t>i.e.</w:t>
            </w:r>
            <w:proofErr w:type="gramEnd"/>
            <w:r w:rsidRPr="00936DBC">
              <w:rPr>
                <w:rFonts w:ascii="Gill Sans MT" w:eastAsia="Times New Roman" w:hAnsi="Gill Sans MT" w:cs="Calibri Light"/>
                <w:sz w:val="20"/>
                <w:szCs w:val="20"/>
              </w:rPr>
              <w:t xml:space="preserve"> 3,5, 10 </w:t>
            </w:r>
            <w:proofErr w:type="spellStart"/>
            <w:r w:rsidRPr="00936DBC">
              <w:rPr>
                <w:rFonts w:ascii="Gill Sans MT" w:eastAsia="Times New Roman" w:hAnsi="Gill Sans MT" w:cs="Calibri Light"/>
                <w:sz w:val="20"/>
                <w:szCs w:val="20"/>
              </w:rPr>
              <w:t>yrs</w:t>
            </w:r>
            <w:proofErr w:type="spellEnd"/>
            <w:r w:rsidRPr="00936DBC">
              <w:rPr>
                <w:rFonts w:ascii="Gill Sans MT" w:eastAsia="Times New Roman" w:hAnsi="Gill Sans MT" w:cs="Calibri Light"/>
                <w:sz w:val="20"/>
                <w:szCs w:val="20"/>
              </w:rPr>
              <w:t>) to ensure that flood regulations are triggered with enough reinvestment in the building.</w:t>
            </w:r>
            <w:r w:rsidRPr="00936DBC">
              <w:rPr>
                <w:rFonts w:ascii="Gill Sans MT" w:eastAsia="Times New Roman" w:hAnsi="Gill Sans MT" w:cs="Calibri Light"/>
                <w:sz w:val="20"/>
                <w:szCs w:val="20"/>
              </w:rPr>
              <w:br/>
              <w:t xml:space="preserve">f.      Reduce impervious surface coverage limit within the SFHA from 60-75% to 50% for all districts. </w:t>
            </w:r>
            <w:r w:rsidRPr="00936DBC">
              <w:rPr>
                <w:rFonts w:ascii="Gill Sans MT" w:eastAsia="Times New Roman" w:hAnsi="Gill Sans MT" w:cs="Calibri Light"/>
                <w:sz w:val="20"/>
                <w:szCs w:val="20"/>
              </w:rPr>
              <w:br/>
              <w:t>g.     Require 2 feet of freeboard or elevation based on the Design Flood Elevation determined using the NH Coastal Flood Risk Guidance.</w:t>
            </w:r>
            <w:r w:rsidRPr="00936DBC">
              <w:rPr>
                <w:rFonts w:ascii="Gill Sans MT" w:eastAsia="Times New Roman" w:hAnsi="Gill Sans MT" w:cs="Calibri Light"/>
                <w:sz w:val="20"/>
                <w:szCs w:val="20"/>
              </w:rPr>
              <w:br/>
              <w:t xml:space="preserve">h. Require that construction or substantial improvement of any structure within the SFHA (as opposed to only structures in the Tidal Wetland Conservation District) comply with the standards of section 2.4.11-C. </w:t>
            </w:r>
          </w:p>
        </w:tc>
        <w:tc>
          <w:tcPr>
            <w:tcW w:w="4950" w:type="dxa"/>
            <w:tcBorders>
              <w:bottom w:val="single" w:sz="4" w:space="0" w:color="B3B3B7" w:themeColor="accent5" w:themeTint="99"/>
            </w:tcBorders>
          </w:tcPr>
          <w:p w14:paraId="615C088C" w14:textId="77777777" w:rsidR="00424B82" w:rsidRDefault="00424B82" w:rsidP="00424B82">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Light"/>
                <w:sz w:val="20"/>
                <w:szCs w:val="20"/>
              </w:rPr>
            </w:pPr>
            <w:r w:rsidRPr="00936DBC">
              <w:rPr>
                <w:rFonts w:ascii="Gill Sans MT" w:eastAsia="Times New Roman" w:hAnsi="Gill Sans MT" w:cs="Calibri Light"/>
                <w:sz w:val="20"/>
                <w:szCs w:val="20"/>
              </w:rPr>
              <w:t xml:space="preserve">Coordination with Planning Dept and Planning Board would be required </w:t>
            </w:r>
            <w:proofErr w:type="gramStart"/>
            <w:r w:rsidRPr="00936DBC">
              <w:rPr>
                <w:rFonts w:ascii="Gill Sans MT" w:eastAsia="Times New Roman" w:hAnsi="Gill Sans MT" w:cs="Calibri Light"/>
                <w:sz w:val="20"/>
                <w:szCs w:val="20"/>
              </w:rPr>
              <w:t>in order to</w:t>
            </w:r>
            <w:proofErr w:type="gramEnd"/>
            <w:r w:rsidRPr="00936DBC">
              <w:rPr>
                <w:rFonts w:ascii="Gill Sans MT" w:eastAsia="Times New Roman" w:hAnsi="Gill Sans MT" w:cs="Calibri Light"/>
                <w:sz w:val="20"/>
                <w:szCs w:val="20"/>
              </w:rPr>
              <w:t xml:space="preserve"> identify if and how CHAT can assist with implementation of these zoning amendments</w:t>
            </w:r>
            <w:r>
              <w:rPr>
                <w:rFonts w:ascii="Gill Sans MT" w:eastAsia="Times New Roman" w:hAnsi="Gill Sans MT" w:cs="Calibri Light"/>
                <w:sz w:val="20"/>
                <w:szCs w:val="20"/>
              </w:rPr>
              <w:t>.</w:t>
            </w:r>
            <w:r w:rsidRPr="00936DBC">
              <w:rPr>
                <w:rFonts w:ascii="Gill Sans MT" w:eastAsia="Times New Roman" w:hAnsi="Gill Sans MT" w:cs="Calibri Light"/>
                <w:sz w:val="20"/>
                <w:szCs w:val="20"/>
              </w:rPr>
              <w:br/>
            </w:r>
            <w:r w:rsidRPr="00936DBC">
              <w:rPr>
                <w:rFonts w:ascii="Gill Sans MT" w:eastAsia="Times New Roman" w:hAnsi="Gill Sans MT" w:cs="Calibri Light"/>
                <w:sz w:val="20"/>
                <w:szCs w:val="20"/>
              </w:rPr>
              <w:br/>
              <w:t>CHAT’s role in floodplain ordinance-related strategies could involve targeted education and engagement of Planning Board or creation of material to explain why the proposed changes are recommended</w:t>
            </w:r>
            <w:r>
              <w:rPr>
                <w:rFonts w:ascii="Gill Sans MT" w:eastAsia="Times New Roman" w:hAnsi="Gill Sans MT" w:cs="Calibri Light"/>
                <w:sz w:val="20"/>
                <w:szCs w:val="20"/>
              </w:rPr>
              <w:t xml:space="preserve">. </w:t>
            </w:r>
          </w:p>
          <w:p w14:paraId="22C0D773" w14:textId="77777777" w:rsidR="00424B82" w:rsidRPr="00B73618" w:rsidRDefault="00424B82" w:rsidP="00424B82">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Light"/>
                <w:sz w:val="20"/>
                <w:szCs w:val="20"/>
              </w:rPr>
            </w:pPr>
            <w:r w:rsidRPr="00936DBC">
              <w:rPr>
                <w:rFonts w:ascii="Gill Sans MT" w:eastAsia="Times New Roman" w:hAnsi="Gill Sans MT" w:cs="Calibri Light"/>
                <w:sz w:val="20"/>
                <w:szCs w:val="20"/>
              </w:rPr>
              <w:br/>
              <w:t xml:space="preserve">Sept 2022 update: Planning Dept is continuing the amendment process with </w:t>
            </w:r>
            <w:r w:rsidRPr="00B73618">
              <w:rPr>
                <w:rFonts w:ascii="Gill Sans MT" w:eastAsia="Times New Roman" w:hAnsi="Gill Sans MT" w:cs="Calibri Light"/>
                <w:sz w:val="20"/>
                <w:szCs w:val="20"/>
              </w:rPr>
              <w:t>technical</w:t>
            </w:r>
            <w:r w:rsidRPr="00936DBC">
              <w:rPr>
                <w:rFonts w:ascii="Gill Sans MT" w:eastAsia="Times New Roman" w:hAnsi="Gill Sans MT" w:cs="Calibri Light"/>
                <w:sz w:val="20"/>
                <w:szCs w:val="20"/>
              </w:rPr>
              <w:t xml:space="preserve"> assistance through the NH</w:t>
            </w:r>
            <w:r>
              <w:rPr>
                <w:rFonts w:ascii="Gill Sans MT" w:eastAsia="Times New Roman" w:hAnsi="Gill Sans MT" w:cs="Calibri Light"/>
                <w:sz w:val="20"/>
                <w:szCs w:val="20"/>
              </w:rPr>
              <w:t xml:space="preserve"> Coastal Program</w:t>
            </w:r>
            <w:r w:rsidRPr="00936DBC">
              <w:rPr>
                <w:rFonts w:ascii="Gill Sans MT" w:eastAsia="Times New Roman" w:hAnsi="Gill Sans MT" w:cs="Calibri Light"/>
                <w:sz w:val="20"/>
                <w:szCs w:val="20"/>
              </w:rPr>
              <w:t xml:space="preserve">. </w:t>
            </w:r>
          </w:p>
          <w:p w14:paraId="5B162287" w14:textId="77777777" w:rsidR="00424B82" w:rsidRPr="00B73618" w:rsidRDefault="00424B82" w:rsidP="00424B82">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Light"/>
                <w:sz w:val="20"/>
                <w:szCs w:val="20"/>
              </w:rPr>
            </w:pPr>
          </w:p>
          <w:p w14:paraId="20738F81" w14:textId="7B378761" w:rsidR="00424B82" w:rsidRPr="00936DBC" w:rsidRDefault="00424B82" w:rsidP="00424B82">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Light"/>
                <w:sz w:val="20"/>
                <w:szCs w:val="20"/>
              </w:rPr>
            </w:pPr>
            <w:r w:rsidRPr="00B73618">
              <w:rPr>
                <w:rFonts w:ascii="Gill Sans MT" w:eastAsia="Times New Roman" w:hAnsi="Gill Sans MT" w:cs="Calibri Light"/>
                <w:sz w:val="20"/>
                <w:szCs w:val="20"/>
              </w:rPr>
              <w:t xml:space="preserve">Next steps: </w:t>
            </w:r>
            <w:r w:rsidRPr="00936DBC">
              <w:rPr>
                <w:rFonts w:ascii="Gill Sans MT" w:eastAsia="Times New Roman" w:hAnsi="Gill Sans MT" w:cs="Calibri Light"/>
                <w:sz w:val="20"/>
                <w:szCs w:val="20"/>
              </w:rPr>
              <w:t xml:space="preserve">CHAT members should review proposed amendments to the ordinance. CHAT could assist with outreach related to proposed amendments. CHAT members should follow along </w:t>
            </w:r>
            <w:proofErr w:type="gramStart"/>
            <w:r w:rsidRPr="00936DBC">
              <w:rPr>
                <w:rFonts w:ascii="Gill Sans MT" w:eastAsia="Times New Roman" w:hAnsi="Gill Sans MT" w:cs="Calibri Light"/>
                <w:sz w:val="20"/>
                <w:szCs w:val="20"/>
              </w:rPr>
              <w:t>with</w:t>
            </w:r>
            <w:proofErr w:type="gramEnd"/>
            <w:r w:rsidRPr="00936DBC">
              <w:rPr>
                <w:rFonts w:ascii="Gill Sans MT" w:eastAsia="Times New Roman" w:hAnsi="Gill Sans MT" w:cs="Calibri Light"/>
                <w:sz w:val="20"/>
                <w:szCs w:val="20"/>
              </w:rPr>
              <w:t xml:space="preserve"> and review proposed changes the Floodplain Ordinance associated with the audit.</w:t>
            </w:r>
          </w:p>
        </w:tc>
      </w:tr>
      <w:tr w:rsidR="00424B82" w:rsidRPr="00B73618" w14:paraId="0066CA51" w14:textId="77777777" w:rsidTr="00743E2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685" w:type="dxa"/>
            <w:tcBorders>
              <w:right w:val="nil"/>
            </w:tcBorders>
          </w:tcPr>
          <w:p w14:paraId="7B49518C" w14:textId="57782E87" w:rsidR="00424B82" w:rsidRPr="00424B82" w:rsidRDefault="00424B82" w:rsidP="00424B82">
            <w:pPr>
              <w:rPr>
                <w:rFonts w:ascii="Gill Sans MT" w:eastAsia="Times New Roman" w:hAnsi="Gill Sans MT" w:cs="Calibri Light"/>
                <w:b w:val="0"/>
                <w:bCs w:val="0"/>
                <w:color w:val="00B0F0"/>
                <w:sz w:val="20"/>
                <w:szCs w:val="20"/>
              </w:rPr>
            </w:pPr>
            <w:r w:rsidRPr="00033700">
              <w:rPr>
                <w:rFonts w:ascii="Gill Sans MT" w:eastAsia="Times New Roman" w:hAnsi="Gill Sans MT" w:cs="Calibri Light"/>
                <w:color w:val="00B0F0"/>
                <w:sz w:val="20"/>
                <w:szCs w:val="20"/>
              </w:rPr>
              <w:t>Other Policies and Regulations</w:t>
            </w:r>
          </w:p>
        </w:tc>
        <w:tc>
          <w:tcPr>
            <w:tcW w:w="4950" w:type="dxa"/>
            <w:tcBorders>
              <w:left w:val="nil"/>
              <w:right w:val="nil"/>
            </w:tcBorders>
          </w:tcPr>
          <w:p w14:paraId="6AC1F357" w14:textId="70BE816D" w:rsidR="00424B82" w:rsidRPr="00936DBC" w:rsidRDefault="00424B82" w:rsidP="00424B82">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Light"/>
                <w:sz w:val="20"/>
                <w:szCs w:val="20"/>
              </w:rPr>
            </w:pPr>
          </w:p>
        </w:tc>
        <w:tc>
          <w:tcPr>
            <w:tcW w:w="4950" w:type="dxa"/>
            <w:tcBorders>
              <w:left w:val="nil"/>
            </w:tcBorders>
          </w:tcPr>
          <w:p w14:paraId="1DFCA586" w14:textId="77777777" w:rsidR="00424B82" w:rsidRPr="00936DBC" w:rsidRDefault="00424B82" w:rsidP="00424B82">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Light"/>
                <w:sz w:val="20"/>
                <w:szCs w:val="20"/>
              </w:rPr>
            </w:pPr>
          </w:p>
        </w:tc>
      </w:tr>
      <w:tr w:rsidR="00424B82" w:rsidRPr="00B73618" w14:paraId="39ECC315" w14:textId="77777777" w:rsidTr="00743E21">
        <w:trPr>
          <w:trHeight w:val="278"/>
        </w:trPr>
        <w:tc>
          <w:tcPr>
            <w:cnfStyle w:val="001000000000" w:firstRow="0" w:lastRow="0" w:firstColumn="1" w:lastColumn="0" w:oddVBand="0" w:evenVBand="0" w:oddHBand="0" w:evenHBand="0" w:firstRowFirstColumn="0" w:firstRowLastColumn="0" w:lastRowFirstColumn="0" w:lastRowLastColumn="0"/>
            <w:tcW w:w="3685" w:type="dxa"/>
          </w:tcPr>
          <w:p w14:paraId="6244F029" w14:textId="113E25C6" w:rsidR="00424B82" w:rsidRPr="00424B82" w:rsidRDefault="00424B82" w:rsidP="00424B82">
            <w:pPr>
              <w:rPr>
                <w:rFonts w:ascii="Gill Sans MT" w:eastAsia="Times New Roman" w:hAnsi="Gill Sans MT" w:cs="Calibri Light"/>
                <w:b w:val="0"/>
                <w:bCs w:val="0"/>
                <w:sz w:val="20"/>
                <w:szCs w:val="20"/>
              </w:rPr>
            </w:pPr>
            <w:r w:rsidRPr="00424B82">
              <w:rPr>
                <w:rFonts w:ascii="Gill Sans MT" w:eastAsia="Times New Roman" w:hAnsi="Gill Sans MT" w:cs="Calibri Light"/>
                <w:b w:val="0"/>
                <w:bCs w:val="0"/>
                <w:sz w:val="20"/>
                <w:szCs w:val="20"/>
              </w:rPr>
              <w:lastRenderedPageBreak/>
              <w:t>Develop a new coastal hazard overlay district with regulations to control development in vulnerable areas.</w:t>
            </w:r>
          </w:p>
        </w:tc>
        <w:tc>
          <w:tcPr>
            <w:tcW w:w="4950" w:type="dxa"/>
          </w:tcPr>
          <w:p w14:paraId="13FB4DEC" w14:textId="754C371F" w:rsidR="00424B82" w:rsidRPr="00033700" w:rsidRDefault="00424B82" w:rsidP="00424B82">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Light"/>
                <w:color w:val="00B0F0"/>
                <w:sz w:val="20"/>
                <w:szCs w:val="20"/>
              </w:rPr>
            </w:pPr>
            <w:r w:rsidRPr="00936DBC">
              <w:rPr>
                <w:rFonts w:ascii="Gill Sans MT" w:eastAsia="Times New Roman" w:hAnsi="Gill Sans MT" w:cs="Calibri Light"/>
                <w:sz w:val="20"/>
                <w:szCs w:val="20"/>
              </w:rPr>
              <w:t xml:space="preserve">Form a subcommittee to work on development of a new coastal hazard overlay district that has higher regulatory standards for areas of the community at risk </w:t>
            </w:r>
            <w:proofErr w:type="gramStart"/>
            <w:r w:rsidRPr="00936DBC">
              <w:rPr>
                <w:rFonts w:ascii="Gill Sans MT" w:eastAsia="Times New Roman" w:hAnsi="Gill Sans MT" w:cs="Calibri Light"/>
                <w:sz w:val="20"/>
                <w:szCs w:val="20"/>
              </w:rPr>
              <w:t>to</w:t>
            </w:r>
            <w:proofErr w:type="gramEnd"/>
            <w:r w:rsidRPr="00936DBC">
              <w:rPr>
                <w:rFonts w:ascii="Gill Sans MT" w:eastAsia="Times New Roman" w:hAnsi="Gill Sans MT" w:cs="Calibri Light"/>
                <w:sz w:val="20"/>
                <w:szCs w:val="20"/>
              </w:rPr>
              <w:t xml:space="preserve"> flooding and sea level rise. One requirement within the overlay would be that individuals who </w:t>
            </w:r>
            <w:proofErr w:type="gramStart"/>
            <w:r w:rsidRPr="00936DBC">
              <w:rPr>
                <w:rFonts w:ascii="Gill Sans MT" w:eastAsia="Times New Roman" w:hAnsi="Gill Sans MT" w:cs="Calibri Light"/>
                <w:sz w:val="20"/>
                <w:szCs w:val="20"/>
              </w:rPr>
              <w:t>submit an application</w:t>
            </w:r>
            <w:proofErr w:type="gramEnd"/>
            <w:r w:rsidRPr="00936DBC">
              <w:rPr>
                <w:rFonts w:ascii="Gill Sans MT" w:eastAsia="Times New Roman" w:hAnsi="Gill Sans MT" w:cs="Calibri Light"/>
                <w:sz w:val="20"/>
                <w:szCs w:val="20"/>
              </w:rPr>
              <w:t xml:space="preserve"> to the Planning Board, or the building inspector if no Planning Board approval is required, utilize the NH Coastal Flood Risk Guidance. Another potential component could be inclusion of areas of predicted marsh migration under specific scenarios and timeframes.</w:t>
            </w:r>
          </w:p>
        </w:tc>
        <w:tc>
          <w:tcPr>
            <w:tcW w:w="4950" w:type="dxa"/>
          </w:tcPr>
          <w:p w14:paraId="52C63128" w14:textId="77777777" w:rsidR="00424B82" w:rsidRPr="00B73618" w:rsidRDefault="00424B82" w:rsidP="00424B82">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Light"/>
                <w:sz w:val="20"/>
                <w:szCs w:val="20"/>
              </w:rPr>
            </w:pPr>
            <w:r w:rsidRPr="00936DBC">
              <w:rPr>
                <w:rFonts w:ascii="Gill Sans MT" w:eastAsia="Times New Roman" w:hAnsi="Gill Sans MT" w:cs="Calibri Light"/>
                <w:sz w:val="20"/>
                <w:szCs w:val="20"/>
              </w:rPr>
              <w:t xml:space="preserve">CHAT has had some preliminary discussions about </w:t>
            </w:r>
            <w:proofErr w:type="gramStart"/>
            <w:r w:rsidRPr="00936DBC">
              <w:rPr>
                <w:rFonts w:ascii="Gill Sans MT" w:eastAsia="Times New Roman" w:hAnsi="Gill Sans MT" w:cs="Calibri Light"/>
                <w:sz w:val="20"/>
                <w:szCs w:val="20"/>
              </w:rPr>
              <w:t>creation</w:t>
            </w:r>
            <w:proofErr w:type="gramEnd"/>
            <w:r w:rsidRPr="00936DBC">
              <w:rPr>
                <w:rFonts w:ascii="Gill Sans MT" w:eastAsia="Times New Roman" w:hAnsi="Gill Sans MT" w:cs="Calibri Light"/>
                <w:sz w:val="20"/>
                <w:szCs w:val="20"/>
              </w:rPr>
              <w:t xml:space="preserve"> of an overlay district. CHAT could continue to coordinate with the Planning Dept and Planning Board on this concept following the completion of the master plan. </w:t>
            </w:r>
          </w:p>
          <w:p w14:paraId="18589CD5" w14:textId="77777777" w:rsidR="00424B82" w:rsidRPr="00B73618" w:rsidRDefault="00424B82" w:rsidP="00424B82">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Light"/>
                <w:sz w:val="20"/>
                <w:szCs w:val="20"/>
              </w:rPr>
            </w:pPr>
          </w:p>
          <w:p w14:paraId="48031942" w14:textId="1A854DEE" w:rsidR="00424B82" w:rsidRPr="00936DBC" w:rsidRDefault="00424B82" w:rsidP="00424B82">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Light"/>
                <w:sz w:val="20"/>
                <w:szCs w:val="20"/>
              </w:rPr>
            </w:pPr>
            <w:r w:rsidRPr="00B73618">
              <w:rPr>
                <w:rFonts w:ascii="Gill Sans MT" w:eastAsia="Times New Roman" w:hAnsi="Gill Sans MT" w:cs="Calibri Light"/>
                <w:sz w:val="20"/>
                <w:szCs w:val="20"/>
              </w:rPr>
              <w:t xml:space="preserve">Next steps: </w:t>
            </w:r>
            <w:r w:rsidRPr="00936DBC">
              <w:rPr>
                <w:rFonts w:ascii="Gill Sans MT" w:eastAsia="Times New Roman" w:hAnsi="Gill Sans MT" w:cs="Calibri Light"/>
                <w:sz w:val="20"/>
                <w:szCs w:val="20"/>
              </w:rPr>
              <w:t>Review and comment on the PREPA recommendations and Master Plan recommendations.</w:t>
            </w:r>
          </w:p>
        </w:tc>
      </w:tr>
      <w:tr w:rsidR="00424B82" w:rsidRPr="00B73618" w14:paraId="5206916D" w14:textId="77777777" w:rsidTr="00743E2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685" w:type="dxa"/>
          </w:tcPr>
          <w:p w14:paraId="0F1F0E41" w14:textId="183BDD98" w:rsidR="00424B82" w:rsidRPr="00424B82" w:rsidRDefault="00424B82" w:rsidP="00424B82">
            <w:pPr>
              <w:rPr>
                <w:rFonts w:ascii="Gill Sans MT" w:eastAsia="Times New Roman" w:hAnsi="Gill Sans MT" w:cs="Calibri Light"/>
                <w:b w:val="0"/>
                <w:bCs w:val="0"/>
                <w:sz w:val="20"/>
                <w:szCs w:val="20"/>
              </w:rPr>
            </w:pPr>
            <w:r w:rsidRPr="00424B82">
              <w:rPr>
                <w:rFonts w:ascii="Gill Sans MT" w:eastAsia="Times New Roman" w:hAnsi="Gill Sans MT" w:cs="Calibri Light"/>
                <w:b w:val="0"/>
                <w:bCs w:val="0"/>
                <w:sz w:val="20"/>
                <w:szCs w:val="20"/>
              </w:rPr>
              <w:t xml:space="preserve">Restructure the project review process to increase awareness of flood vulnerability. </w:t>
            </w:r>
          </w:p>
        </w:tc>
        <w:tc>
          <w:tcPr>
            <w:tcW w:w="4950" w:type="dxa"/>
          </w:tcPr>
          <w:p w14:paraId="1A0666A8" w14:textId="57AAF87A" w:rsidR="00424B82" w:rsidRPr="00033700" w:rsidRDefault="00424B82" w:rsidP="00424B82">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Light"/>
                <w:color w:val="00B0F0"/>
                <w:sz w:val="20"/>
                <w:szCs w:val="20"/>
              </w:rPr>
            </w:pPr>
            <w:r w:rsidRPr="00936DBC">
              <w:rPr>
                <w:rFonts w:ascii="Gill Sans MT" w:eastAsia="Times New Roman" w:hAnsi="Gill Sans MT" w:cs="Calibri Light"/>
                <w:sz w:val="20"/>
                <w:szCs w:val="20"/>
              </w:rPr>
              <w:t>Investigate opportunities to improve applicant, local board awareness of flood vulnerability by restructuring the project review process.</w:t>
            </w:r>
            <w:r w:rsidRPr="00936DBC">
              <w:rPr>
                <w:rFonts w:ascii="Gill Sans MT" w:eastAsia="Times New Roman" w:hAnsi="Gill Sans MT" w:cs="Calibri Light"/>
                <w:strike/>
                <w:sz w:val="20"/>
                <w:szCs w:val="20"/>
              </w:rPr>
              <w:t xml:space="preserve"> </w:t>
            </w:r>
          </w:p>
        </w:tc>
        <w:tc>
          <w:tcPr>
            <w:tcW w:w="4950" w:type="dxa"/>
          </w:tcPr>
          <w:p w14:paraId="59209525" w14:textId="0869F9A6" w:rsidR="00424B82" w:rsidRPr="00936DBC" w:rsidRDefault="00424B82" w:rsidP="00424B82">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Light"/>
                <w:sz w:val="20"/>
                <w:szCs w:val="20"/>
              </w:rPr>
            </w:pPr>
            <w:r w:rsidRPr="00936DBC">
              <w:rPr>
                <w:rFonts w:ascii="Gill Sans MT" w:eastAsia="Times New Roman" w:hAnsi="Gill Sans MT" w:cs="Calibri Light"/>
                <w:sz w:val="20"/>
                <w:szCs w:val="20"/>
              </w:rPr>
              <w:t xml:space="preserve">CHAT, or a subgroup of CHAT members who are involved in the review process (staff), could flesh out this recommendation more and provide more specifics on why the project review process could be restructured. Educational material could also be developed to support discussions with </w:t>
            </w:r>
            <w:proofErr w:type="gramStart"/>
            <w:r w:rsidRPr="00936DBC">
              <w:rPr>
                <w:rFonts w:ascii="Gill Sans MT" w:eastAsia="Times New Roman" w:hAnsi="Gill Sans MT" w:cs="Calibri Light"/>
                <w:sz w:val="20"/>
                <w:szCs w:val="20"/>
              </w:rPr>
              <w:t>boards</w:t>
            </w:r>
            <w:proofErr w:type="gramEnd"/>
            <w:r w:rsidRPr="00936DBC">
              <w:rPr>
                <w:rFonts w:ascii="Gill Sans MT" w:eastAsia="Times New Roman" w:hAnsi="Gill Sans MT" w:cs="Calibri Light"/>
                <w:sz w:val="20"/>
                <w:szCs w:val="20"/>
              </w:rPr>
              <w:t xml:space="preserve"> and staff. The new CEO should be engaged in this discussion. </w:t>
            </w:r>
          </w:p>
        </w:tc>
      </w:tr>
      <w:tr w:rsidR="00424B82" w:rsidRPr="00B73618" w14:paraId="12554AC9" w14:textId="77777777" w:rsidTr="00743E21">
        <w:trPr>
          <w:trHeight w:val="278"/>
        </w:trPr>
        <w:tc>
          <w:tcPr>
            <w:cnfStyle w:val="001000000000" w:firstRow="0" w:lastRow="0" w:firstColumn="1" w:lastColumn="0" w:oddVBand="0" w:evenVBand="0" w:oddHBand="0" w:evenHBand="0" w:firstRowFirstColumn="0" w:firstRowLastColumn="0" w:lastRowFirstColumn="0" w:lastRowLastColumn="0"/>
            <w:tcW w:w="3685" w:type="dxa"/>
          </w:tcPr>
          <w:p w14:paraId="3877266C" w14:textId="4BB0E0B1" w:rsidR="00424B82" w:rsidRPr="00424B82" w:rsidRDefault="00424B82" w:rsidP="00424B82">
            <w:pPr>
              <w:rPr>
                <w:rFonts w:ascii="Gill Sans MT" w:eastAsia="Times New Roman" w:hAnsi="Gill Sans MT" w:cs="Calibri Light"/>
                <w:b w:val="0"/>
                <w:bCs w:val="0"/>
                <w:sz w:val="20"/>
                <w:szCs w:val="20"/>
              </w:rPr>
            </w:pPr>
            <w:r w:rsidRPr="00424B82">
              <w:rPr>
                <w:rFonts w:ascii="Gill Sans MT" w:eastAsia="Times New Roman" w:hAnsi="Gill Sans MT" w:cs="Calibri Light"/>
                <w:b w:val="0"/>
                <w:bCs w:val="0"/>
                <w:sz w:val="20"/>
                <w:szCs w:val="20"/>
              </w:rPr>
              <w:t>Explore options to use land use ordinances and regulations to encourage and incentivize development in areas that are not vulnerable to current or future flooding, while discouraging development in areas that are vulnerable to current or future flooding.</w:t>
            </w:r>
          </w:p>
        </w:tc>
        <w:tc>
          <w:tcPr>
            <w:tcW w:w="4950" w:type="dxa"/>
          </w:tcPr>
          <w:p w14:paraId="34ED7CEE" w14:textId="1DC91572" w:rsidR="00424B82" w:rsidRPr="00033700" w:rsidRDefault="00424B82" w:rsidP="00424B82">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Light"/>
                <w:color w:val="00B0F0"/>
                <w:sz w:val="20"/>
                <w:szCs w:val="20"/>
              </w:rPr>
            </w:pPr>
            <w:r w:rsidRPr="00936DBC">
              <w:rPr>
                <w:rFonts w:ascii="Gill Sans MT" w:eastAsia="Times New Roman" w:hAnsi="Gill Sans MT" w:cs="Calibri Light"/>
                <w:sz w:val="20"/>
                <w:szCs w:val="20"/>
              </w:rPr>
              <w:t xml:space="preserve">Review Zoning Ordinance, Site Plan Review Regulations, and Subdivision Regulations and identify opportunities and strategies to encourage and incentivize development in areas that are not vulnerable to current or potential future flooding. </w:t>
            </w:r>
          </w:p>
        </w:tc>
        <w:tc>
          <w:tcPr>
            <w:tcW w:w="4950" w:type="dxa"/>
          </w:tcPr>
          <w:p w14:paraId="7EEA4185" w14:textId="77777777" w:rsidR="00424B82" w:rsidRPr="00B73618" w:rsidRDefault="00424B82" w:rsidP="00424B82">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Light"/>
                <w:sz w:val="20"/>
                <w:szCs w:val="20"/>
              </w:rPr>
            </w:pPr>
            <w:r w:rsidRPr="00936DBC">
              <w:rPr>
                <w:rFonts w:ascii="Gill Sans MT" w:eastAsia="Times New Roman" w:hAnsi="Gill Sans MT" w:cs="Calibri Light"/>
                <w:sz w:val="20"/>
                <w:szCs w:val="20"/>
              </w:rPr>
              <w:t>RPC and partners are in the process of developing a resilient land use guide that will have recommendations and examples of regulatory tools for building resilience. Once this is released, CHAT could review the document and help identify what might be most relevant/effective for the Town.</w:t>
            </w:r>
          </w:p>
          <w:p w14:paraId="15A91347" w14:textId="77777777" w:rsidR="00424B82" w:rsidRPr="00936DBC" w:rsidRDefault="00424B82" w:rsidP="00424B82">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Light"/>
                <w:sz w:val="20"/>
                <w:szCs w:val="20"/>
              </w:rPr>
            </w:pPr>
          </w:p>
        </w:tc>
      </w:tr>
      <w:tr w:rsidR="00424B82" w:rsidRPr="00B73618" w14:paraId="72B96456" w14:textId="77777777" w:rsidTr="00743E2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685" w:type="dxa"/>
            <w:tcBorders>
              <w:bottom w:val="single" w:sz="4" w:space="0" w:color="B3B3B7" w:themeColor="accent5" w:themeTint="99"/>
            </w:tcBorders>
          </w:tcPr>
          <w:p w14:paraId="437FF7AC" w14:textId="5BA8C349" w:rsidR="00424B82" w:rsidRPr="00424B82" w:rsidRDefault="00424B82" w:rsidP="00424B82">
            <w:pPr>
              <w:rPr>
                <w:rFonts w:ascii="Gill Sans MT" w:eastAsia="Times New Roman" w:hAnsi="Gill Sans MT" w:cs="Calibri Light"/>
                <w:b w:val="0"/>
                <w:bCs w:val="0"/>
                <w:sz w:val="20"/>
                <w:szCs w:val="20"/>
              </w:rPr>
            </w:pPr>
            <w:r w:rsidRPr="00424B82">
              <w:rPr>
                <w:rFonts w:ascii="Gill Sans MT" w:eastAsia="Times New Roman" w:hAnsi="Gill Sans MT" w:cs="Calibri Light"/>
                <w:b w:val="0"/>
                <w:bCs w:val="0"/>
                <w:sz w:val="20"/>
                <w:szCs w:val="20"/>
              </w:rPr>
              <w:t xml:space="preserve">Allow parking in municipal parking lots when tides are </w:t>
            </w:r>
            <w:proofErr w:type="gramStart"/>
            <w:r w:rsidRPr="00424B82">
              <w:rPr>
                <w:rFonts w:ascii="Gill Sans MT" w:eastAsia="Times New Roman" w:hAnsi="Gill Sans MT" w:cs="Calibri Light"/>
                <w:b w:val="0"/>
                <w:bCs w:val="0"/>
                <w:sz w:val="20"/>
                <w:szCs w:val="20"/>
              </w:rPr>
              <w:t>in excess of</w:t>
            </w:r>
            <w:proofErr w:type="gramEnd"/>
            <w:r w:rsidRPr="00424B82">
              <w:rPr>
                <w:rFonts w:ascii="Gill Sans MT" w:eastAsia="Times New Roman" w:hAnsi="Gill Sans MT" w:cs="Calibri Light"/>
                <w:b w:val="0"/>
                <w:bCs w:val="0"/>
                <w:sz w:val="20"/>
                <w:szCs w:val="20"/>
              </w:rPr>
              <w:t xml:space="preserve"> 9.5 feet, as opposed to 10.0 feet. </w:t>
            </w:r>
          </w:p>
        </w:tc>
        <w:tc>
          <w:tcPr>
            <w:tcW w:w="4950" w:type="dxa"/>
            <w:tcBorders>
              <w:bottom w:val="single" w:sz="4" w:space="0" w:color="B3B3B7" w:themeColor="accent5" w:themeTint="99"/>
            </w:tcBorders>
          </w:tcPr>
          <w:p w14:paraId="7B2D7BB3" w14:textId="76834FED" w:rsidR="00424B82" w:rsidRPr="00033700" w:rsidRDefault="00424B82" w:rsidP="00424B82">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Light"/>
                <w:color w:val="00B0F0"/>
                <w:sz w:val="20"/>
                <w:szCs w:val="20"/>
              </w:rPr>
            </w:pPr>
            <w:r w:rsidRPr="00936DBC">
              <w:rPr>
                <w:rFonts w:ascii="Gill Sans MT" w:eastAsia="Times New Roman" w:hAnsi="Gill Sans MT" w:cs="Calibri Light"/>
                <w:sz w:val="20"/>
                <w:szCs w:val="20"/>
              </w:rPr>
              <w:t xml:space="preserve">Amend Town of Hampton Code Section 805-9(M)(1) to lower the threshold for authorized parking in municipal parking lots when tides are </w:t>
            </w:r>
            <w:proofErr w:type="gramStart"/>
            <w:r w:rsidRPr="00936DBC">
              <w:rPr>
                <w:rFonts w:ascii="Gill Sans MT" w:eastAsia="Times New Roman" w:hAnsi="Gill Sans MT" w:cs="Calibri Light"/>
                <w:sz w:val="20"/>
                <w:szCs w:val="20"/>
              </w:rPr>
              <w:t>in excess of</w:t>
            </w:r>
            <w:proofErr w:type="gramEnd"/>
            <w:r w:rsidRPr="00936DBC">
              <w:rPr>
                <w:rFonts w:ascii="Gill Sans MT" w:eastAsia="Times New Roman" w:hAnsi="Gill Sans MT" w:cs="Calibri Light"/>
                <w:sz w:val="20"/>
                <w:szCs w:val="20"/>
              </w:rPr>
              <w:t xml:space="preserve"> 9.</w:t>
            </w:r>
            <w:r>
              <w:rPr>
                <w:rFonts w:ascii="Gill Sans MT" w:eastAsia="Times New Roman" w:hAnsi="Gill Sans MT" w:cs="Calibri Light"/>
                <w:sz w:val="20"/>
                <w:szCs w:val="20"/>
              </w:rPr>
              <w:t>5</w:t>
            </w:r>
            <w:r w:rsidRPr="00936DBC">
              <w:rPr>
                <w:rFonts w:ascii="Gill Sans MT" w:eastAsia="Times New Roman" w:hAnsi="Gill Sans MT" w:cs="Calibri Light"/>
                <w:sz w:val="20"/>
                <w:szCs w:val="20"/>
              </w:rPr>
              <w:t xml:space="preserve"> feet (as opposed to 10.0 feet). </w:t>
            </w:r>
          </w:p>
        </w:tc>
        <w:tc>
          <w:tcPr>
            <w:tcW w:w="4950" w:type="dxa"/>
            <w:tcBorders>
              <w:bottom w:val="single" w:sz="4" w:space="0" w:color="B3B3B7" w:themeColor="accent5" w:themeTint="99"/>
            </w:tcBorders>
          </w:tcPr>
          <w:p w14:paraId="7194C0E7" w14:textId="0C41D9CE" w:rsidR="00424B82" w:rsidRPr="00936DBC" w:rsidRDefault="00424B82" w:rsidP="00424B82">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Light"/>
                <w:sz w:val="20"/>
                <w:szCs w:val="20"/>
              </w:rPr>
            </w:pPr>
            <w:r w:rsidRPr="00936DBC">
              <w:rPr>
                <w:rFonts w:ascii="Gill Sans MT" w:eastAsia="Times New Roman" w:hAnsi="Gill Sans MT" w:cs="Calibri Light"/>
                <w:sz w:val="20"/>
                <w:szCs w:val="20"/>
              </w:rPr>
              <w:t xml:space="preserve">CHAT has started compiling information to support this recommendation. Once sufficient information is collected, CHAT could submit a letter to the Board of Selectmen. </w:t>
            </w:r>
            <w:r w:rsidRPr="00B73618">
              <w:rPr>
                <w:rFonts w:ascii="Gill Sans MT" w:eastAsia="Times New Roman" w:hAnsi="Gill Sans MT" w:cs="Calibri Light"/>
                <w:sz w:val="20"/>
                <w:szCs w:val="20"/>
              </w:rPr>
              <w:t>Next step to collect parking data</w:t>
            </w:r>
          </w:p>
        </w:tc>
      </w:tr>
      <w:tr w:rsidR="00424B82" w:rsidRPr="00B73618" w14:paraId="0FE21C04" w14:textId="77777777" w:rsidTr="00743E21">
        <w:trPr>
          <w:trHeight w:val="278"/>
        </w:trPr>
        <w:tc>
          <w:tcPr>
            <w:cnfStyle w:val="001000000000" w:firstRow="0" w:lastRow="0" w:firstColumn="1" w:lastColumn="0" w:oddVBand="0" w:evenVBand="0" w:oddHBand="0" w:evenHBand="0" w:firstRowFirstColumn="0" w:firstRowLastColumn="0" w:lastRowFirstColumn="0" w:lastRowLastColumn="0"/>
            <w:tcW w:w="3685" w:type="dxa"/>
            <w:tcBorders>
              <w:right w:val="nil"/>
            </w:tcBorders>
          </w:tcPr>
          <w:p w14:paraId="7043EA06" w14:textId="6ACEEF6E" w:rsidR="00424B82" w:rsidRPr="00424B82" w:rsidRDefault="00424B82" w:rsidP="00424B82">
            <w:pPr>
              <w:rPr>
                <w:rFonts w:ascii="Gill Sans MT" w:eastAsia="Times New Roman" w:hAnsi="Gill Sans MT" w:cs="Calibri Light"/>
                <w:b w:val="0"/>
                <w:bCs w:val="0"/>
                <w:color w:val="00B0F0"/>
                <w:sz w:val="20"/>
                <w:szCs w:val="20"/>
              </w:rPr>
            </w:pPr>
            <w:r>
              <w:rPr>
                <w:rFonts w:ascii="Gill Sans MT" w:eastAsia="Times New Roman" w:hAnsi="Gill Sans MT" w:cs="Calibri Light"/>
                <w:color w:val="00B0F0"/>
                <w:sz w:val="20"/>
                <w:szCs w:val="20"/>
              </w:rPr>
              <w:t>Planning and Land Use</w:t>
            </w:r>
          </w:p>
        </w:tc>
        <w:tc>
          <w:tcPr>
            <w:tcW w:w="4950" w:type="dxa"/>
            <w:tcBorders>
              <w:left w:val="nil"/>
              <w:right w:val="nil"/>
            </w:tcBorders>
          </w:tcPr>
          <w:p w14:paraId="4E2A7E05" w14:textId="0EBC59D5" w:rsidR="00424B82" w:rsidRPr="00936DBC" w:rsidRDefault="00424B82" w:rsidP="00424B82">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Light"/>
                <w:sz w:val="20"/>
                <w:szCs w:val="20"/>
              </w:rPr>
            </w:pPr>
          </w:p>
        </w:tc>
        <w:tc>
          <w:tcPr>
            <w:tcW w:w="4950" w:type="dxa"/>
            <w:tcBorders>
              <w:left w:val="nil"/>
            </w:tcBorders>
          </w:tcPr>
          <w:p w14:paraId="338BA913" w14:textId="77777777" w:rsidR="00424B82" w:rsidRPr="00936DBC" w:rsidRDefault="00424B82" w:rsidP="00424B82">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Light"/>
                <w:sz w:val="20"/>
                <w:szCs w:val="20"/>
              </w:rPr>
            </w:pPr>
          </w:p>
        </w:tc>
      </w:tr>
      <w:tr w:rsidR="00424B82" w:rsidRPr="00B73618" w14:paraId="1FFEE6A1" w14:textId="77777777" w:rsidTr="00743E2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685" w:type="dxa"/>
          </w:tcPr>
          <w:p w14:paraId="35874790" w14:textId="7458B151" w:rsidR="00424B82" w:rsidRPr="00424B82" w:rsidRDefault="00424B82" w:rsidP="00424B82">
            <w:pPr>
              <w:rPr>
                <w:rFonts w:ascii="Gill Sans MT" w:eastAsia="Times New Roman" w:hAnsi="Gill Sans MT" w:cs="Calibri Light"/>
                <w:b w:val="0"/>
                <w:bCs w:val="0"/>
                <w:sz w:val="20"/>
                <w:szCs w:val="20"/>
              </w:rPr>
            </w:pPr>
            <w:r w:rsidRPr="00424B82">
              <w:rPr>
                <w:rFonts w:ascii="Gill Sans MT" w:eastAsia="Times New Roman" w:hAnsi="Gill Sans MT" w:cs="Calibri Light"/>
                <w:b w:val="0"/>
                <w:bCs w:val="0"/>
                <w:sz w:val="20"/>
                <w:szCs w:val="20"/>
              </w:rPr>
              <w:t>Integrate sea level rise impacts in the Comprehensive Master Plan and identify strategies for effectively responding to sea level rise and encouraging development in safe areas.</w:t>
            </w:r>
          </w:p>
        </w:tc>
        <w:tc>
          <w:tcPr>
            <w:tcW w:w="4950" w:type="dxa"/>
          </w:tcPr>
          <w:p w14:paraId="7DDF9A5D" w14:textId="59AA3007" w:rsidR="00424B82" w:rsidRDefault="00424B82" w:rsidP="00424B82">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Light"/>
                <w:color w:val="00B0F0"/>
                <w:sz w:val="20"/>
                <w:szCs w:val="20"/>
              </w:rPr>
            </w:pPr>
            <w:r w:rsidRPr="00936DBC">
              <w:rPr>
                <w:rFonts w:ascii="Gill Sans MT" w:eastAsia="Times New Roman" w:hAnsi="Gill Sans MT" w:cs="Calibri Light"/>
                <w:sz w:val="20"/>
                <w:szCs w:val="20"/>
              </w:rPr>
              <w:t>Require that the Comprehensive Master Plan and future updates of the Comprehensive Master Plan integrate sea level rise (SLR) impacts throughout of the plan and identify strategies for effectively responding to SLR and encouraging development in safe areas.</w:t>
            </w:r>
          </w:p>
        </w:tc>
        <w:tc>
          <w:tcPr>
            <w:tcW w:w="4950" w:type="dxa"/>
          </w:tcPr>
          <w:p w14:paraId="0FFAC6AE" w14:textId="77777777" w:rsidR="00424B82" w:rsidRPr="00B73618" w:rsidRDefault="00424B82" w:rsidP="00424B82">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Light"/>
                <w:sz w:val="20"/>
                <w:szCs w:val="20"/>
              </w:rPr>
            </w:pPr>
            <w:r w:rsidRPr="00936DBC">
              <w:rPr>
                <w:rFonts w:ascii="Gill Sans MT" w:eastAsia="Times New Roman" w:hAnsi="Gill Sans MT" w:cs="Calibri Light"/>
                <w:sz w:val="20"/>
                <w:szCs w:val="20"/>
              </w:rPr>
              <w:t xml:space="preserve">This is related to the ongoing Master Plan update. CHAT’s role could be to review and comment on the draft plan when it is available. </w:t>
            </w:r>
          </w:p>
          <w:p w14:paraId="22A4C22D" w14:textId="77777777" w:rsidR="00424B82" w:rsidRPr="00B73618" w:rsidRDefault="00424B82" w:rsidP="00424B82">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Light"/>
                <w:sz w:val="20"/>
                <w:szCs w:val="20"/>
              </w:rPr>
            </w:pPr>
          </w:p>
          <w:p w14:paraId="3F4D9FF9" w14:textId="48FD1A23" w:rsidR="00424B82" w:rsidRPr="00936DBC" w:rsidRDefault="00424B82" w:rsidP="00743E21">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Light"/>
                <w:sz w:val="20"/>
                <w:szCs w:val="20"/>
              </w:rPr>
            </w:pPr>
            <w:r w:rsidRPr="00936DBC">
              <w:rPr>
                <w:rFonts w:ascii="Gill Sans MT" w:eastAsia="Times New Roman" w:hAnsi="Gill Sans MT" w:cs="Calibri Light"/>
                <w:sz w:val="20"/>
                <w:szCs w:val="20"/>
              </w:rPr>
              <w:t>No action needed at this time unless CHAT wants to comment on the draft Master Plan</w:t>
            </w:r>
            <w:r w:rsidR="00743E21">
              <w:rPr>
                <w:rFonts w:ascii="Gill Sans MT" w:eastAsia="Times New Roman" w:hAnsi="Gill Sans MT" w:cs="Calibri Light"/>
                <w:sz w:val="20"/>
                <w:szCs w:val="20"/>
              </w:rPr>
              <w:t>.</w:t>
            </w:r>
          </w:p>
        </w:tc>
      </w:tr>
      <w:tr w:rsidR="00424B82" w:rsidRPr="00B73618" w14:paraId="7DE68033" w14:textId="77777777" w:rsidTr="00743E21">
        <w:trPr>
          <w:trHeight w:val="278"/>
        </w:trPr>
        <w:tc>
          <w:tcPr>
            <w:cnfStyle w:val="001000000000" w:firstRow="0" w:lastRow="0" w:firstColumn="1" w:lastColumn="0" w:oddVBand="0" w:evenVBand="0" w:oddHBand="0" w:evenHBand="0" w:firstRowFirstColumn="0" w:firstRowLastColumn="0" w:lastRowFirstColumn="0" w:lastRowLastColumn="0"/>
            <w:tcW w:w="3685" w:type="dxa"/>
          </w:tcPr>
          <w:p w14:paraId="113B3447" w14:textId="09975C8D" w:rsidR="00424B82" w:rsidRPr="00424B82" w:rsidRDefault="00424B82" w:rsidP="00424B82">
            <w:pPr>
              <w:rPr>
                <w:rFonts w:ascii="Gill Sans MT" w:eastAsia="Times New Roman" w:hAnsi="Gill Sans MT" w:cs="Calibri Light"/>
                <w:b w:val="0"/>
                <w:bCs w:val="0"/>
                <w:sz w:val="20"/>
                <w:szCs w:val="20"/>
              </w:rPr>
            </w:pPr>
            <w:r w:rsidRPr="00424B82">
              <w:rPr>
                <w:rFonts w:ascii="Gill Sans MT" w:eastAsia="Times New Roman" w:hAnsi="Gill Sans MT" w:cs="Calibri Light"/>
                <w:b w:val="0"/>
                <w:bCs w:val="0"/>
                <w:sz w:val="20"/>
                <w:szCs w:val="20"/>
              </w:rPr>
              <w:lastRenderedPageBreak/>
              <w:t>Support an Implementation Committee to follow up on recommendations of the Master Plan.</w:t>
            </w:r>
          </w:p>
        </w:tc>
        <w:tc>
          <w:tcPr>
            <w:tcW w:w="4950" w:type="dxa"/>
          </w:tcPr>
          <w:p w14:paraId="5D4077F3" w14:textId="328187FA" w:rsidR="00424B82" w:rsidRPr="00936DBC" w:rsidRDefault="00424B82" w:rsidP="00424B82">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Light"/>
                <w:sz w:val="20"/>
                <w:szCs w:val="20"/>
              </w:rPr>
            </w:pPr>
            <w:r w:rsidRPr="00936DBC">
              <w:rPr>
                <w:rFonts w:ascii="Gill Sans MT" w:eastAsia="Times New Roman" w:hAnsi="Gill Sans MT" w:cs="Calibri Light"/>
                <w:sz w:val="20"/>
                <w:szCs w:val="20"/>
              </w:rPr>
              <w:t xml:space="preserve">Establish an Implementation Committee to ensure that the various recommendations of the Comprehensive Master Plan are carefully considered and adopted in a timely manner, as appropriate.  </w:t>
            </w:r>
          </w:p>
        </w:tc>
        <w:tc>
          <w:tcPr>
            <w:tcW w:w="4950" w:type="dxa"/>
          </w:tcPr>
          <w:p w14:paraId="6753335E" w14:textId="6A7DD68C" w:rsidR="00424B82" w:rsidRPr="00936DBC" w:rsidRDefault="00424B82" w:rsidP="00424B82">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Light"/>
                <w:sz w:val="20"/>
                <w:szCs w:val="20"/>
              </w:rPr>
            </w:pPr>
            <w:r w:rsidRPr="00936DBC">
              <w:rPr>
                <w:rFonts w:ascii="Gill Sans MT" w:eastAsia="Times New Roman" w:hAnsi="Gill Sans MT" w:cs="Calibri Light"/>
                <w:sz w:val="20"/>
                <w:szCs w:val="20"/>
              </w:rPr>
              <w:t xml:space="preserve">This is related to the ongoing master plan. There will be an implementation committee. </w:t>
            </w:r>
          </w:p>
        </w:tc>
      </w:tr>
      <w:tr w:rsidR="00424B82" w:rsidRPr="00B73618" w14:paraId="158E2C22" w14:textId="77777777" w:rsidTr="00743E21">
        <w:trPr>
          <w:cnfStyle w:val="000000100000" w:firstRow="0" w:lastRow="0" w:firstColumn="0" w:lastColumn="0" w:oddVBand="0" w:evenVBand="0" w:oddHBand="1" w:evenHBand="0" w:firstRowFirstColumn="0" w:firstRowLastColumn="0" w:lastRowFirstColumn="0" w:lastRowLastColumn="0"/>
          <w:trHeight w:val="2105"/>
        </w:trPr>
        <w:tc>
          <w:tcPr>
            <w:cnfStyle w:val="001000000000" w:firstRow="0" w:lastRow="0" w:firstColumn="1" w:lastColumn="0" w:oddVBand="0" w:evenVBand="0" w:oddHBand="0" w:evenHBand="0" w:firstRowFirstColumn="0" w:firstRowLastColumn="0" w:lastRowFirstColumn="0" w:lastRowLastColumn="0"/>
            <w:tcW w:w="3685" w:type="dxa"/>
          </w:tcPr>
          <w:p w14:paraId="24B932E6" w14:textId="0EC644E6" w:rsidR="00424B82" w:rsidRPr="00424B82" w:rsidRDefault="00424B82" w:rsidP="00424B82">
            <w:pPr>
              <w:rPr>
                <w:rFonts w:ascii="Gill Sans MT" w:eastAsia="Times New Roman" w:hAnsi="Gill Sans MT" w:cs="Calibri Light"/>
                <w:b w:val="0"/>
                <w:bCs w:val="0"/>
                <w:sz w:val="20"/>
                <w:szCs w:val="20"/>
              </w:rPr>
            </w:pPr>
            <w:r w:rsidRPr="00424B82">
              <w:rPr>
                <w:rFonts w:ascii="Gill Sans MT" w:eastAsia="Times New Roman" w:hAnsi="Gill Sans MT" w:cs="Calibri Light"/>
                <w:b w:val="0"/>
                <w:bCs w:val="0"/>
                <w:sz w:val="20"/>
                <w:szCs w:val="20"/>
              </w:rPr>
              <w:t>Start a visioning process to think about the long-term future of areas that are anticipated to be impacted by sea level rise.</w:t>
            </w:r>
          </w:p>
        </w:tc>
        <w:tc>
          <w:tcPr>
            <w:tcW w:w="4950" w:type="dxa"/>
          </w:tcPr>
          <w:p w14:paraId="54F2354B" w14:textId="0BBD0296" w:rsidR="00424B82" w:rsidRDefault="00424B82" w:rsidP="00424B82">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Light"/>
                <w:sz w:val="20"/>
                <w:szCs w:val="20"/>
                <w:vertAlign w:val="superscript"/>
              </w:rPr>
            </w:pPr>
            <w:r w:rsidRPr="00936DBC">
              <w:rPr>
                <w:rFonts w:ascii="Gill Sans MT" w:eastAsia="Times New Roman" w:hAnsi="Gill Sans MT" w:cs="Calibri Light"/>
                <w:sz w:val="20"/>
                <w:szCs w:val="20"/>
              </w:rPr>
              <w:t>Conduct a visioning effort to begin to identify potential positive, alternative land uses and activities for areas that are anticipated to be impacted by SLR.</w:t>
            </w:r>
            <w:r w:rsidRPr="00936DBC">
              <w:rPr>
                <w:rFonts w:ascii="Gill Sans MT" w:eastAsia="Times New Roman" w:hAnsi="Gill Sans MT" w:cs="Calibri Light"/>
                <w:sz w:val="20"/>
                <w:szCs w:val="20"/>
                <w:vertAlign w:val="superscript"/>
              </w:rPr>
              <w:t xml:space="preserve"> </w:t>
            </w:r>
          </w:p>
          <w:p w14:paraId="1D09100E" w14:textId="77777777" w:rsidR="00424B82" w:rsidRPr="00150A72" w:rsidRDefault="00424B82" w:rsidP="00424B82">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Light"/>
                <w:sz w:val="20"/>
                <w:szCs w:val="20"/>
              </w:rPr>
            </w:pPr>
          </w:p>
          <w:p w14:paraId="7FB9B3F0" w14:textId="77777777" w:rsidR="00424B82" w:rsidRPr="00150A72" w:rsidRDefault="00424B82" w:rsidP="00424B82">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Light"/>
                <w:sz w:val="20"/>
                <w:szCs w:val="20"/>
              </w:rPr>
            </w:pPr>
          </w:p>
          <w:p w14:paraId="1238E9A3" w14:textId="77777777" w:rsidR="00424B82" w:rsidRDefault="00424B82" w:rsidP="00424B82">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Light"/>
                <w:sz w:val="20"/>
                <w:szCs w:val="20"/>
                <w:vertAlign w:val="superscript"/>
              </w:rPr>
            </w:pPr>
          </w:p>
          <w:p w14:paraId="2C67D7F9" w14:textId="77777777" w:rsidR="00424B82" w:rsidRDefault="00424B82" w:rsidP="00424B82">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Light"/>
                <w:sz w:val="20"/>
                <w:szCs w:val="20"/>
                <w:vertAlign w:val="superscript"/>
              </w:rPr>
            </w:pPr>
          </w:p>
          <w:p w14:paraId="07893616" w14:textId="77777777" w:rsidR="00424B82" w:rsidRPr="00936DBC" w:rsidRDefault="00424B82" w:rsidP="00424B82">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Light"/>
                <w:sz w:val="20"/>
                <w:szCs w:val="20"/>
              </w:rPr>
            </w:pPr>
          </w:p>
        </w:tc>
        <w:tc>
          <w:tcPr>
            <w:tcW w:w="4950" w:type="dxa"/>
          </w:tcPr>
          <w:p w14:paraId="5F6E5F2B" w14:textId="77777777" w:rsidR="00424B82" w:rsidRPr="00B73618" w:rsidRDefault="00424B82" w:rsidP="00424B82">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Light"/>
                <w:sz w:val="20"/>
                <w:szCs w:val="20"/>
              </w:rPr>
            </w:pPr>
            <w:r w:rsidRPr="00936DBC">
              <w:rPr>
                <w:rFonts w:ascii="Gill Sans MT" w:eastAsia="Times New Roman" w:hAnsi="Gill Sans MT" w:cs="Calibri Light"/>
                <w:sz w:val="20"/>
                <w:szCs w:val="20"/>
              </w:rPr>
              <w:t xml:space="preserve">CHAT could lead or assist a visioning effort. Additional engagement efforts would likely be required prior to this effort to set the scene for this type of discussion. Any discussion on future land use should be informed by the master plan. </w:t>
            </w:r>
          </w:p>
          <w:p w14:paraId="2845D189" w14:textId="77777777" w:rsidR="00424B82" w:rsidRPr="00B73618" w:rsidRDefault="00424B82" w:rsidP="00424B82">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Light"/>
                <w:sz w:val="20"/>
                <w:szCs w:val="20"/>
              </w:rPr>
            </w:pPr>
          </w:p>
          <w:p w14:paraId="53058362" w14:textId="1984313D" w:rsidR="00424B82" w:rsidRPr="00936DBC" w:rsidRDefault="00424B82" w:rsidP="00424B82">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Light"/>
                <w:sz w:val="20"/>
                <w:szCs w:val="20"/>
              </w:rPr>
            </w:pPr>
            <w:r w:rsidRPr="00B73618">
              <w:rPr>
                <w:rFonts w:ascii="Gill Sans MT" w:eastAsia="Times New Roman" w:hAnsi="Gill Sans MT" w:cs="Calibri Light"/>
                <w:sz w:val="20"/>
                <w:szCs w:val="20"/>
              </w:rPr>
              <w:t xml:space="preserve">Next steps: </w:t>
            </w:r>
            <w:r w:rsidRPr="00936DBC">
              <w:rPr>
                <w:rFonts w:ascii="Gill Sans MT" w:eastAsia="Times New Roman" w:hAnsi="Gill Sans MT" w:cs="Calibri Light"/>
                <w:sz w:val="20"/>
                <w:szCs w:val="20"/>
              </w:rPr>
              <w:t>Review Master Plan findings and recommendations (when available), lay out a plan to start this visioning process</w:t>
            </w:r>
            <w:r w:rsidRPr="00B73618">
              <w:rPr>
                <w:rFonts w:ascii="Gill Sans MT" w:eastAsia="Times New Roman" w:hAnsi="Gill Sans MT" w:cs="Calibri Light"/>
                <w:sz w:val="20"/>
                <w:szCs w:val="20"/>
              </w:rPr>
              <w:t>.</w:t>
            </w:r>
          </w:p>
        </w:tc>
      </w:tr>
      <w:tr w:rsidR="00424B82" w:rsidRPr="00B73618" w14:paraId="60A3F0BF" w14:textId="77777777" w:rsidTr="00743E21">
        <w:trPr>
          <w:trHeight w:val="278"/>
        </w:trPr>
        <w:tc>
          <w:tcPr>
            <w:cnfStyle w:val="001000000000" w:firstRow="0" w:lastRow="0" w:firstColumn="1" w:lastColumn="0" w:oddVBand="0" w:evenVBand="0" w:oddHBand="0" w:evenHBand="0" w:firstRowFirstColumn="0" w:firstRowLastColumn="0" w:lastRowFirstColumn="0" w:lastRowLastColumn="0"/>
            <w:tcW w:w="3685" w:type="dxa"/>
            <w:tcBorders>
              <w:bottom w:val="single" w:sz="4" w:space="0" w:color="B3B3B7" w:themeColor="accent5" w:themeTint="99"/>
            </w:tcBorders>
          </w:tcPr>
          <w:p w14:paraId="4D4E732C" w14:textId="674DDD74" w:rsidR="00424B82" w:rsidRPr="00424B82" w:rsidRDefault="00424B82" w:rsidP="00424B82">
            <w:pPr>
              <w:rPr>
                <w:rFonts w:ascii="Gill Sans MT" w:eastAsia="Times New Roman" w:hAnsi="Gill Sans MT" w:cs="Calibri Light"/>
                <w:b w:val="0"/>
                <w:bCs w:val="0"/>
                <w:sz w:val="20"/>
                <w:szCs w:val="20"/>
              </w:rPr>
            </w:pPr>
            <w:r w:rsidRPr="00424B82">
              <w:rPr>
                <w:rFonts w:ascii="Gill Sans MT" w:eastAsia="Times New Roman" w:hAnsi="Gill Sans MT" w:cs="Calibri Light"/>
                <w:b w:val="0"/>
                <w:bCs w:val="0"/>
                <w:sz w:val="20"/>
                <w:szCs w:val="20"/>
              </w:rPr>
              <w:t>Prioritize land conservation efforts in areas that can support marshes in the future.</w:t>
            </w:r>
          </w:p>
        </w:tc>
        <w:tc>
          <w:tcPr>
            <w:tcW w:w="4950" w:type="dxa"/>
            <w:tcBorders>
              <w:bottom w:val="single" w:sz="4" w:space="0" w:color="B3B3B7" w:themeColor="accent5" w:themeTint="99"/>
            </w:tcBorders>
          </w:tcPr>
          <w:p w14:paraId="2E4638F9" w14:textId="455C030A" w:rsidR="00424B82" w:rsidRPr="00936DBC" w:rsidRDefault="00424B82" w:rsidP="00424B82">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Light"/>
                <w:sz w:val="20"/>
                <w:szCs w:val="20"/>
              </w:rPr>
            </w:pPr>
            <w:r w:rsidRPr="00936DBC">
              <w:rPr>
                <w:rFonts w:ascii="Gill Sans MT" w:eastAsia="Times New Roman" w:hAnsi="Gill Sans MT" w:cs="Calibri Light"/>
                <w:sz w:val="20"/>
                <w:szCs w:val="20"/>
              </w:rPr>
              <w:t>Prioritize land conservation initiatives in areas of predicted marsh migration.</w:t>
            </w:r>
          </w:p>
        </w:tc>
        <w:tc>
          <w:tcPr>
            <w:tcW w:w="4950" w:type="dxa"/>
            <w:tcBorders>
              <w:bottom w:val="single" w:sz="4" w:space="0" w:color="B3B3B7" w:themeColor="accent5" w:themeTint="99"/>
            </w:tcBorders>
          </w:tcPr>
          <w:p w14:paraId="47F1EF25" w14:textId="77777777" w:rsidR="00424B82" w:rsidRPr="00B73618" w:rsidRDefault="00424B82" w:rsidP="00424B82">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Light"/>
                <w:sz w:val="20"/>
                <w:szCs w:val="20"/>
              </w:rPr>
            </w:pPr>
            <w:r w:rsidRPr="00936DBC">
              <w:rPr>
                <w:rFonts w:ascii="Gill Sans MT" w:eastAsia="Times New Roman" w:hAnsi="Gill Sans MT" w:cs="Calibri Light"/>
                <w:sz w:val="20"/>
                <w:szCs w:val="20"/>
              </w:rPr>
              <w:t xml:space="preserve">April 2022 Update: Conservation Coordinator is building </w:t>
            </w:r>
            <w:proofErr w:type="gramStart"/>
            <w:r w:rsidRPr="00936DBC">
              <w:rPr>
                <w:rFonts w:ascii="Gill Sans MT" w:eastAsia="Times New Roman" w:hAnsi="Gill Sans MT" w:cs="Calibri Light"/>
                <w:sz w:val="20"/>
                <w:szCs w:val="20"/>
              </w:rPr>
              <w:t>off of</w:t>
            </w:r>
            <w:proofErr w:type="gramEnd"/>
            <w:r w:rsidRPr="00936DBC">
              <w:rPr>
                <w:rFonts w:ascii="Gill Sans MT" w:eastAsia="Times New Roman" w:hAnsi="Gill Sans MT" w:cs="Calibri Light"/>
                <w:sz w:val="20"/>
                <w:szCs w:val="20"/>
              </w:rPr>
              <w:t xml:space="preserve"> SHEA’s prior efforts on conserving land to accommodate marsh migration. July 2022 update: Conservation Coordinator shared an update of the Conservation Commissions conservation priorities. </w:t>
            </w:r>
          </w:p>
          <w:p w14:paraId="27703DC1" w14:textId="77777777" w:rsidR="00424B82" w:rsidRPr="00B73618" w:rsidRDefault="00424B82" w:rsidP="00424B82">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Light"/>
                <w:sz w:val="20"/>
                <w:szCs w:val="20"/>
              </w:rPr>
            </w:pPr>
          </w:p>
          <w:p w14:paraId="622FD8FB" w14:textId="17FDCA64" w:rsidR="00424B82" w:rsidRPr="00936DBC" w:rsidRDefault="00424B82" w:rsidP="00424B82">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Light"/>
                <w:sz w:val="20"/>
                <w:szCs w:val="20"/>
              </w:rPr>
            </w:pPr>
            <w:r w:rsidRPr="00B73618">
              <w:rPr>
                <w:rFonts w:ascii="Gill Sans MT" w:eastAsia="Times New Roman" w:hAnsi="Gill Sans MT" w:cs="Calibri Light"/>
                <w:sz w:val="20"/>
                <w:szCs w:val="20"/>
              </w:rPr>
              <w:t xml:space="preserve">Next steps: </w:t>
            </w:r>
            <w:r w:rsidRPr="00936DBC">
              <w:rPr>
                <w:rFonts w:ascii="Gill Sans MT" w:eastAsia="Times New Roman" w:hAnsi="Gill Sans MT" w:cs="Calibri Light"/>
                <w:sz w:val="20"/>
                <w:szCs w:val="20"/>
              </w:rPr>
              <w:t>Compile existing resources and maps depicting marsh migration, create new resources as needed, share with Conservation Commission and property owners.</w:t>
            </w:r>
          </w:p>
        </w:tc>
      </w:tr>
      <w:tr w:rsidR="00424B82" w:rsidRPr="00B73618" w14:paraId="17E54F57" w14:textId="77777777" w:rsidTr="00743E2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685" w:type="dxa"/>
            <w:tcBorders>
              <w:right w:val="nil"/>
            </w:tcBorders>
          </w:tcPr>
          <w:p w14:paraId="3EBE3779" w14:textId="6F7B489C" w:rsidR="00424B82" w:rsidRPr="00424B82" w:rsidRDefault="00424B82" w:rsidP="00424B82">
            <w:pPr>
              <w:rPr>
                <w:rFonts w:ascii="Gill Sans MT" w:eastAsia="Times New Roman" w:hAnsi="Gill Sans MT" w:cs="Calibri Light"/>
                <w:b w:val="0"/>
                <w:bCs w:val="0"/>
                <w:color w:val="00B0F0"/>
                <w:sz w:val="20"/>
                <w:szCs w:val="20"/>
              </w:rPr>
            </w:pPr>
            <w:r w:rsidRPr="00E45F7F">
              <w:rPr>
                <w:rFonts w:ascii="Gill Sans MT" w:eastAsia="Times New Roman" w:hAnsi="Gill Sans MT" w:cs="Calibri Light"/>
                <w:color w:val="00B0F0"/>
                <w:sz w:val="20"/>
                <w:szCs w:val="20"/>
              </w:rPr>
              <w:t>Economic Implications of Sea-Level Rise and Flooding</w:t>
            </w:r>
          </w:p>
        </w:tc>
        <w:tc>
          <w:tcPr>
            <w:tcW w:w="4950" w:type="dxa"/>
            <w:tcBorders>
              <w:left w:val="nil"/>
              <w:right w:val="nil"/>
            </w:tcBorders>
          </w:tcPr>
          <w:p w14:paraId="5EB3B52C" w14:textId="19A87ACA" w:rsidR="00424B82" w:rsidRPr="00936DBC" w:rsidRDefault="00424B82" w:rsidP="00424B82">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Light"/>
                <w:sz w:val="20"/>
                <w:szCs w:val="20"/>
              </w:rPr>
            </w:pPr>
          </w:p>
        </w:tc>
        <w:tc>
          <w:tcPr>
            <w:tcW w:w="4950" w:type="dxa"/>
            <w:tcBorders>
              <w:left w:val="nil"/>
            </w:tcBorders>
          </w:tcPr>
          <w:p w14:paraId="6624412D" w14:textId="77777777" w:rsidR="00424B82" w:rsidRPr="00936DBC" w:rsidRDefault="00424B82" w:rsidP="00424B82">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Light"/>
                <w:sz w:val="20"/>
                <w:szCs w:val="20"/>
              </w:rPr>
            </w:pPr>
          </w:p>
        </w:tc>
      </w:tr>
      <w:tr w:rsidR="00424B82" w:rsidRPr="00B73618" w14:paraId="3E5CC118" w14:textId="77777777" w:rsidTr="00743E21">
        <w:trPr>
          <w:trHeight w:val="278"/>
        </w:trPr>
        <w:tc>
          <w:tcPr>
            <w:cnfStyle w:val="001000000000" w:firstRow="0" w:lastRow="0" w:firstColumn="1" w:lastColumn="0" w:oddVBand="0" w:evenVBand="0" w:oddHBand="0" w:evenHBand="0" w:firstRowFirstColumn="0" w:firstRowLastColumn="0" w:lastRowFirstColumn="0" w:lastRowLastColumn="0"/>
            <w:tcW w:w="3685" w:type="dxa"/>
          </w:tcPr>
          <w:p w14:paraId="432A7CFA" w14:textId="3135AA4C" w:rsidR="00424B82" w:rsidRPr="00424B82" w:rsidRDefault="00424B82" w:rsidP="00424B82">
            <w:pPr>
              <w:rPr>
                <w:rFonts w:ascii="Gill Sans MT" w:eastAsia="Times New Roman" w:hAnsi="Gill Sans MT" w:cs="Calibri Light"/>
                <w:b w:val="0"/>
                <w:bCs w:val="0"/>
                <w:sz w:val="20"/>
                <w:szCs w:val="20"/>
              </w:rPr>
            </w:pPr>
            <w:r w:rsidRPr="00424B82">
              <w:rPr>
                <w:rFonts w:ascii="Gill Sans MT" w:eastAsia="Times New Roman" w:hAnsi="Gill Sans MT" w:cs="Calibri Light"/>
                <w:b w:val="0"/>
                <w:bCs w:val="0"/>
                <w:sz w:val="20"/>
                <w:szCs w:val="20"/>
              </w:rPr>
              <w:t>Conduct an assessment to better understand and plan for the economic impacts (development, tourism, tax base, etc.) of sea level rise.</w:t>
            </w:r>
          </w:p>
        </w:tc>
        <w:tc>
          <w:tcPr>
            <w:tcW w:w="4950" w:type="dxa"/>
          </w:tcPr>
          <w:p w14:paraId="5EDC5D80" w14:textId="6D3F9CEE" w:rsidR="00424B82" w:rsidRPr="00936DBC" w:rsidRDefault="00424B82" w:rsidP="00424B82">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Light"/>
                <w:sz w:val="20"/>
                <w:szCs w:val="20"/>
              </w:rPr>
            </w:pPr>
            <w:r w:rsidRPr="00936DBC">
              <w:rPr>
                <w:rFonts w:ascii="Gill Sans MT" w:eastAsia="Times New Roman" w:hAnsi="Gill Sans MT" w:cs="Calibri Light"/>
                <w:sz w:val="20"/>
                <w:szCs w:val="20"/>
              </w:rPr>
              <w:t>Conduct an assessment to better understand and plan for the economic and social impacts (development, tourism, tax base, etc.) associated with SLR.</w:t>
            </w:r>
            <w:proofErr w:type="gramStart"/>
            <w:r w:rsidRPr="00936DBC">
              <w:rPr>
                <w:rFonts w:ascii="Gill Sans MT" w:eastAsia="Times New Roman" w:hAnsi="Gill Sans MT" w:cs="Calibri Light"/>
                <w:sz w:val="20"/>
                <w:szCs w:val="20"/>
                <w:vertAlign w:val="superscript"/>
              </w:rPr>
              <w:t xml:space="preserve">4 </w:t>
            </w:r>
            <w:r w:rsidRPr="00936DBC">
              <w:rPr>
                <w:rFonts w:ascii="Gill Sans MT" w:eastAsia="Times New Roman" w:hAnsi="Gill Sans MT" w:cs="Calibri Light"/>
                <w:sz w:val="20"/>
                <w:szCs w:val="20"/>
              </w:rPr>
              <w:t xml:space="preserve"> Initiate</w:t>
            </w:r>
            <w:proofErr w:type="gramEnd"/>
            <w:r w:rsidRPr="00936DBC">
              <w:rPr>
                <w:rFonts w:ascii="Gill Sans MT" w:eastAsia="Times New Roman" w:hAnsi="Gill Sans MT" w:cs="Calibri Light"/>
                <w:sz w:val="20"/>
                <w:szCs w:val="20"/>
              </w:rPr>
              <w:t xml:space="preserve"> a discussion on how coastal properties are assessed and the impacts of sea level rise on properties.</w:t>
            </w:r>
          </w:p>
        </w:tc>
        <w:tc>
          <w:tcPr>
            <w:tcW w:w="4950" w:type="dxa"/>
          </w:tcPr>
          <w:p w14:paraId="0D6B44D2" w14:textId="77777777" w:rsidR="00424B82" w:rsidRPr="00B73618" w:rsidRDefault="00424B82" w:rsidP="00424B82">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Light"/>
                <w:sz w:val="20"/>
                <w:szCs w:val="20"/>
              </w:rPr>
            </w:pPr>
            <w:r w:rsidRPr="00936DBC">
              <w:rPr>
                <w:rFonts w:ascii="Gill Sans MT" w:eastAsia="Times New Roman" w:hAnsi="Gill Sans MT" w:cs="Calibri Light"/>
                <w:sz w:val="20"/>
                <w:szCs w:val="20"/>
              </w:rPr>
              <w:t>SHEA Submitted proposal 7/31/21 for economic study. CHAT provided a letter of support for the grant application. The project was not funded;</w:t>
            </w:r>
            <w:r w:rsidRPr="00936DBC">
              <w:rPr>
                <w:rFonts w:ascii="Gill Sans MT" w:eastAsia="Times New Roman" w:hAnsi="Gill Sans MT" w:cs="Calibri Light"/>
                <w:sz w:val="20"/>
                <w:szCs w:val="20"/>
              </w:rPr>
              <w:br/>
            </w:r>
            <w:r w:rsidRPr="00936DBC">
              <w:rPr>
                <w:rFonts w:ascii="Gill Sans MT" w:eastAsia="Times New Roman" w:hAnsi="Gill Sans MT" w:cs="Calibri Light"/>
                <w:sz w:val="20"/>
                <w:szCs w:val="20"/>
              </w:rPr>
              <w:br/>
              <w:t>Flagged by CHAT as one of the recommendations that the group would like to start investigating/supporting implementation of.</w:t>
            </w:r>
            <w:r w:rsidRPr="00936DBC">
              <w:rPr>
                <w:rFonts w:ascii="Gill Sans MT" w:eastAsia="Times New Roman" w:hAnsi="Gill Sans MT" w:cs="Calibri Light"/>
                <w:sz w:val="20"/>
                <w:szCs w:val="20"/>
              </w:rPr>
              <w:br/>
            </w:r>
            <w:r w:rsidRPr="00936DBC">
              <w:rPr>
                <w:rFonts w:ascii="Gill Sans MT" w:eastAsia="Times New Roman" w:hAnsi="Gill Sans MT" w:cs="Calibri Light"/>
                <w:sz w:val="20"/>
                <w:szCs w:val="20"/>
              </w:rPr>
              <w:br/>
              <w:t>April 2022 update: SHEA is working to get a project proposal together for funding.</w:t>
            </w:r>
          </w:p>
          <w:p w14:paraId="673BE861" w14:textId="77777777" w:rsidR="00424B82" w:rsidRPr="00B73618" w:rsidRDefault="00424B82" w:rsidP="00424B82">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Light"/>
                <w:sz w:val="20"/>
                <w:szCs w:val="20"/>
              </w:rPr>
            </w:pPr>
          </w:p>
          <w:p w14:paraId="466F7EB5" w14:textId="77777777" w:rsidR="00424B82" w:rsidRPr="00936DBC" w:rsidRDefault="00424B82" w:rsidP="00424B82">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Light"/>
                <w:sz w:val="20"/>
                <w:szCs w:val="20"/>
              </w:rPr>
            </w:pPr>
            <w:r w:rsidRPr="00B73618">
              <w:rPr>
                <w:rFonts w:ascii="Gill Sans MT" w:eastAsia="Times New Roman" w:hAnsi="Gill Sans MT" w:cs="Calibri Light"/>
                <w:sz w:val="20"/>
                <w:szCs w:val="20"/>
              </w:rPr>
              <w:t xml:space="preserve">Next Steps: </w:t>
            </w:r>
            <w:r w:rsidRPr="00936DBC">
              <w:rPr>
                <w:rFonts w:ascii="Gill Sans MT" w:eastAsia="Times New Roman" w:hAnsi="Gill Sans MT" w:cs="Calibri Light"/>
                <w:sz w:val="20"/>
                <w:szCs w:val="20"/>
              </w:rPr>
              <w:t>Coordinate with SHEA on project development. Look for examples from other communities and studies</w:t>
            </w:r>
          </w:p>
        </w:tc>
      </w:tr>
      <w:tr w:rsidR="00424B82" w:rsidRPr="00B73618" w14:paraId="2F52933A" w14:textId="77777777" w:rsidTr="00743E2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685" w:type="dxa"/>
            <w:tcBorders>
              <w:bottom w:val="single" w:sz="4" w:space="0" w:color="B3B3B7" w:themeColor="accent5" w:themeTint="99"/>
            </w:tcBorders>
          </w:tcPr>
          <w:p w14:paraId="6708595E" w14:textId="72D2E273" w:rsidR="00424B82" w:rsidRPr="00424B82" w:rsidRDefault="00424B82" w:rsidP="00424B82">
            <w:pPr>
              <w:rPr>
                <w:rFonts w:ascii="Gill Sans MT" w:eastAsia="Times New Roman" w:hAnsi="Gill Sans MT" w:cs="Calibri Light"/>
                <w:b w:val="0"/>
                <w:bCs w:val="0"/>
                <w:sz w:val="20"/>
                <w:szCs w:val="20"/>
              </w:rPr>
            </w:pPr>
            <w:r w:rsidRPr="00424B82">
              <w:rPr>
                <w:rFonts w:ascii="Gill Sans MT" w:eastAsia="Times New Roman" w:hAnsi="Gill Sans MT" w:cs="Calibri Light"/>
                <w:b w:val="0"/>
                <w:bCs w:val="0"/>
                <w:sz w:val="20"/>
                <w:szCs w:val="20"/>
              </w:rPr>
              <w:lastRenderedPageBreak/>
              <w:t xml:space="preserve">Continue to pursue participation in the National Flood Insurance Program's Community Rating System. </w:t>
            </w:r>
          </w:p>
        </w:tc>
        <w:tc>
          <w:tcPr>
            <w:tcW w:w="4950" w:type="dxa"/>
            <w:tcBorders>
              <w:bottom w:val="single" w:sz="4" w:space="0" w:color="B3B3B7" w:themeColor="accent5" w:themeTint="99"/>
            </w:tcBorders>
          </w:tcPr>
          <w:p w14:paraId="5DC99798" w14:textId="5719E118" w:rsidR="00424B82" w:rsidRPr="00936DBC" w:rsidRDefault="00424B82" w:rsidP="00424B82">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Light"/>
                <w:sz w:val="20"/>
                <w:szCs w:val="20"/>
              </w:rPr>
            </w:pPr>
            <w:r w:rsidRPr="00936DBC">
              <w:rPr>
                <w:rFonts w:ascii="Gill Sans MT" w:eastAsia="Times New Roman" w:hAnsi="Gill Sans MT" w:cs="Calibri Light"/>
                <w:sz w:val="20"/>
                <w:szCs w:val="20"/>
              </w:rPr>
              <w:t xml:space="preserve">Continue to work with out-of-compliance property owners to comply with the National Flood Insurance Program (NFIP) so that the Town can join the Community Rating System (CRS), the Community Resilience &amp; Floodplain Administrator can track and identify points for CRS, and property owners who pay flood insurance can benefit from reduced premiums. </w:t>
            </w:r>
          </w:p>
        </w:tc>
        <w:tc>
          <w:tcPr>
            <w:tcW w:w="4950" w:type="dxa"/>
            <w:tcBorders>
              <w:bottom w:val="single" w:sz="4" w:space="0" w:color="B3B3B7" w:themeColor="accent5" w:themeTint="99"/>
            </w:tcBorders>
          </w:tcPr>
          <w:p w14:paraId="64947B7F" w14:textId="7E4312FE" w:rsidR="00424B82" w:rsidRPr="00936DBC" w:rsidRDefault="00424B82" w:rsidP="00424B82">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Light"/>
                <w:sz w:val="20"/>
                <w:szCs w:val="20"/>
              </w:rPr>
            </w:pPr>
            <w:r w:rsidRPr="00936DBC">
              <w:rPr>
                <w:rFonts w:ascii="Gill Sans MT" w:eastAsia="Times New Roman" w:hAnsi="Gill Sans MT" w:cs="Calibri Light"/>
                <w:sz w:val="20"/>
                <w:szCs w:val="20"/>
              </w:rPr>
              <w:t xml:space="preserve">CHAT could play a role in educating residents about CRS. CHAT could also request updates about compliance status on a semi-annual basis. </w:t>
            </w:r>
          </w:p>
        </w:tc>
      </w:tr>
      <w:tr w:rsidR="00424B82" w:rsidRPr="00B73618" w14:paraId="7B1D8605" w14:textId="77777777" w:rsidTr="00743E21">
        <w:trPr>
          <w:trHeight w:val="278"/>
        </w:trPr>
        <w:tc>
          <w:tcPr>
            <w:cnfStyle w:val="001000000000" w:firstRow="0" w:lastRow="0" w:firstColumn="1" w:lastColumn="0" w:oddVBand="0" w:evenVBand="0" w:oddHBand="0" w:evenHBand="0" w:firstRowFirstColumn="0" w:firstRowLastColumn="0" w:lastRowFirstColumn="0" w:lastRowLastColumn="0"/>
            <w:tcW w:w="3685" w:type="dxa"/>
            <w:tcBorders>
              <w:right w:val="nil"/>
            </w:tcBorders>
          </w:tcPr>
          <w:p w14:paraId="6BEC2F08" w14:textId="61C1B33C" w:rsidR="00424B82" w:rsidRPr="00424B82" w:rsidRDefault="00424B82" w:rsidP="00424B82">
            <w:pPr>
              <w:rPr>
                <w:rFonts w:ascii="Gill Sans MT" w:eastAsia="Times New Roman" w:hAnsi="Gill Sans MT" w:cs="Calibri Light"/>
                <w:b w:val="0"/>
                <w:bCs w:val="0"/>
                <w:color w:val="00B0F0"/>
                <w:sz w:val="20"/>
                <w:szCs w:val="20"/>
              </w:rPr>
            </w:pPr>
            <w:r w:rsidRPr="00BA0BC7">
              <w:rPr>
                <w:rFonts w:ascii="Gill Sans MT" w:eastAsia="Times New Roman" w:hAnsi="Gill Sans MT" w:cs="Calibri Light"/>
                <w:color w:val="00B0F0"/>
                <w:sz w:val="20"/>
                <w:szCs w:val="20"/>
              </w:rPr>
              <w:t>Financing, Funding, and Municipal Investment</w:t>
            </w:r>
          </w:p>
        </w:tc>
        <w:tc>
          <w:tcPr>
            <w:tcW w:w="4950" w:type="dxa"/>
            <w:tcBorders>
              <w:left w:val="nil"/>
              <w:right w:val="nil"/>
            </w:tcBorders>
          </w:tcPr>
          <w:p w14:paraId="1FF680B0" w14:textId="76742BD0" w:rsidR="00424B82" w:rsidRPr="00BA0BC7" w:rsidRDefault="00424B82" w:rsidP="00424B82">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Light"/>
                <w:color w:val="00B0F0"/>
                <w:sz w:val="20"/>
                <w:szCs w:val="20"/>
              </w:rPr>
            </w:pPr>
          </w:p>
        </w:tc>
        <w:tc>
          <w:tcPr>
            <w:tcW w:w="4950" w:type="dxa"/>
            <w:tcBorders>
              <w:left w:val="nil"/>
            </w:tcBorders>
          </w:tcPr>
          <w:p w14:paraId="5E97A839" w14:textId="77777777" w:rsidR="00424B82" w:rsidRPr="00936DBC" w:rsidRDefault="00424B82" w:rsidP="00424B82">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Light"/>
                <w:sz w:val="20"/>
                <w:szCs w:val="20"/>
              </w:rPr>
            </w:pPr>
          </w:p>
        </w:tc>
      </w:tr>
      <w:tr w:rsidR="00424B82" w:rsidRPr="00B73618" w14:paraId="1FA5866D" w14:textId="77777777" w:rsidTr="00743E21">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3685" w:type="dxa"/>
          </w:tcPr>
          <w:p w14:paraId="4D8E0762" w14:textId="1F464280" w:rsidR="00424B82" w:rsidRPr="00424B82" w:rsidRDefault="00424B82" w:rsidP="00424B82">
            <w:pPr>
              <w:rPr>
                <w:rFonts w:ascii="Gill Sans MT" w:hAnsi="Gill Sans MT"/>
                <w:b w:val="0"/>
                <w:bCs w:val="0"/>
                <w:sz w:val="20"/>
                <w:szCs w:val="20"/>
              </w:rPr>
            </w:pPr>
            <w:r w:rsidRPr="00424B82">
              <w:rPr>
                <w:rFonts w:ascii="Gill Sans MT" w:hAnsi="Gill Sans MT"/>
                <w:b w:val="0"/>
                <w:bCs w:val="0"/>
                <w:sz w:val="20"/>
                <w:szCs w:val="20"/>
              </w:rPr>
              <w:t>Prohibit construction of critical facilities within high-risk Special Flood Hazard Area (SFHA) unless the project has been reviewed using the NH Coastal Flood Risk Guidance and meets certain criteria.</w:t>
            </w:r>
          </w:p>
        </w:tc>
        <w:tc>
          <w:tcPr>
            <w:tcW w:w="4950" w:type="dxa"/>
          </w:tcPr>
          <w:p w14:paraId="5B2166BF" w14:textId="490D2BDC" w:rsidR="00424B82" w:rsidRPr="00743E21" w:rsidRDefault="00424B82" w:rsidP="00424B82">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Light"/>
                <w:sz w:val="20"/>
                <w:szCs w:val="20"/>
              </w:rPr>
            </w:pPr>
            <w:r w:rsidRPr="00743E21">
              <w:rPr>
                <w:rFonts w:ascii="Gill Sans MT" w:hAnsi="Gill Sans MT"/>
                <w:sz w:val="20"/>
                <w:szCs w:val="20"/>
              </w:rPr>
              <w:t>Prohibit construction of critical facilities within high-risk Special Flood Hazard Area (SFHA) unless the project has been reviewed using the NH Coastal Flood Risk Guidance and meets certain criteria.</w:t>
            </w:r>
          </w:p>
        </w:tc>
        <w:tc>
          <w:tcPr>
            <w:tcW w:w="4950" w:type="dxa"/>
          </w:tcPr>
          <w:p w14:paraId="56A6A869" w14:textId="56EF3A2B" w:rsidR="00424B82" w:rsidRPr="00936DBC" w:rsidRDefault="00424B82" w:rsidP="00424B82">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Light"/>
                <w:sz w:val="20"/>
                <w:szCs w:val="20"/>
              </w:rPr>
            </w:pPr>
            <w:r>
              <w:rPr>
                <w:rFonts w:ascii="Gill Sans MT" w:eastAsia="Times New Roman" w:hAnsi="Gill Sans MT" w:cs="Calibri Light"/>
                <w:sz w:val="20"/>
                <w:szCs w:val="20"/>
              </w:rPr>
              <w:t xml:space="preserve">CHAT could initiate a discussion with the BOS on creating a policy. </w:t>
            </w:r>
          </w:p>
        </w:tc>
      </w:tr>
      <w:tr w:rsidR="00424B82" w:rsidRPr="00B73618" w14:paraId="4012EAB6" w14:textId="77777777" w:rsidTr="00743E21">
        <w:trPr>
          <w:trHeight w:val="1020"/>
        </w:trPr>
        <w:tc>
          <w:tcPr>
            <w:cnfStyle w:val="001000000000" w:firstRow="0" w:lastRow="0" w:firstColumn="1" w:lastColumn="0" w:oddVBand="0" w:evenVBand="0" w:oddHBand="0" w:evenHBand="0" w:firstRowFirstColumn="0" w:firstRowLastColumn="0" w:lastRowFirstColumn="0" w:lastRowLastColumn="0"/>
            <w:tcW w:w="3685" w:type="dxa"/>
            <w:tcBorders>
              <w:bottom w:val="single" w:sz="4" w:space="0" w:color="B3B3B7" w:themeColor="accent5" w:themeTint="99"/>
            </w:tcBorders>
          </w:tcPr>
          <w:p w14:paraId="12C25DB3" w14:textId="6571F18E" w:rsidR="00424B82" w:rsidRPr="00424B82" w:rsidRDefault="00424B82" w:rsidP="00424B82">
            <w:pPr>
              <w:rPr>
                <w:rFonts w:ascii="Gill Sans MT" w:eastAsia="Times New Roman" w:hAnsi="Gill Sans MT" w:cs="Calibri Light"/>
                <w:b w:val="0"/>
                <w:bCs w:val="0"/>
                <w:sz w:val="20"/>
                <w:szCs w:val="20"/>
              </w:rPr>
            </w:pPr>
            <w:r w:rsidRPr="00424B82">
              <w:rPr>
                <w:rFonts w:ascii="Gill Sans MT" w:eastAsia="Times New Roman" w:hAnsi="Gill Sans MT" w:cs="Calibri Light"/>
                <w:b w:val="0"/>
                <w:bCs w:val="0"/>
                <w:sz w:val="20"/>
                <w:szCs w:val="20"/>
              </w:rPr>
              <w:t xml:space="preserve">Identify funding sources to build town-wide flood resilience. Funding sources may include a dedicated local fund. </w:t>
            </w:r>
          </w:p>
        </w:tc>
        <w:tc>
          <w:tcPr>
            <w:tcW w:w="4950" w:type="dxa"/>
            <w:tcBorders>
              <w:bottom w:val="single" w:sz="4" w:space="0" w:color="B3B3B7" w:themeColor="accent5" w:themeTint="99"/>
            </w:tcBorders>
          </w:tcPr>
          <w:p w14:paraId="4C1DD6D5" w14:textId="6DEEE644" w:rsidR="00424B82" w:rsidRPr="00936DBC" w:rsidRDefault="00424B82" w:rsidP="00424B82">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Light"/>
                <w:b/>
                <w:bCs/>
                <w:sz w:val="20"/>
                <w:szCs w:val="20"/>
              </w:rPr>
            </w:pPr>
            <w:r w:rsidRPr="00936DBC">
              <w:rPr>
                <w:rFonts w:ascii="Gill Sans MT" w:eastAsia="Times New Roman" w:hAnsi="Gill Sans MT" w:cs="Calibri Light"/>
                <w:sz w:val="20"/>
                <w:szCs w:val="20"/>
              </w:rPr>
              <w:t>Create Capital Reserve account or Community Resilience Incentive Zone (NH RSA 79-E) with seed funding to be used for grant match and cost share for municipal repairs, upgrades, flood mitigation and/or projects identified in the Coastal Management Master Plan Chapter, Hazard Mitigation Plan, flood engineering studies, and other local or regional flood studies.</w:t>
            </w:r>
          </w:p>
        </w:tc>
        <w:tc>
          <w:tcPr>
            <w:tcW w:w="4950" w:type="dxa"/>
            <w:tcBorders>
              <w:bottom w:val="single" w:sz="4" w:space="0" w:color="B3B3B7" w:themeColor="accent5" w:themeTint="99"/>
            </w:tcBorders>
          </w:tcPr>
          <w:p w14:paraId="47D45246" w14:textId="5428BEBE" w:rsidR="00424B82" w:rsidRPr="00936DBC" w:rsidRDefault="00424B82" w:rsidP="00424B82">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Light"/>
                <w:sz w:val="20"/>
                <w:szCs w:val="20"/>
              </w:rPr>
            </w:pPr>
            <w:r w:rsidRPr="00936DBC">
              <w:rPr>
                <w:rFonts w:ascii="Gill Sans MT" w:eastAsia="Times New Roman" w:hAnsi="Gill Sans MT" w:cs="Calibri Light"/>
                <w:sz w:val="20"/>
                <w:szCs w:val="20"/>
              </w:rPr>
              <w:t xml:space="preserve">CHAT started refining and investigating implementation of this strategy in Feb 2022; April 2022 update: CHAT has determined more information is needed and is going to table the discussion on this recommendation for now. A possible interim step is to conduct </w:t>
            </w:r>
            <w:proofErr w:type="gramStart"/>
            <w:r w:rsidRPr="00936DBC">
              <w:rPr>
                <w:rFonts w:ascii="Gill Sans MT" w:eastAsia="Times New Roman" w:hAnsi="Gill Sans MT" w:cs="Calibri Light"/>
                <w:sz w:val="20"/>
                <w:szCs w:val="20"/>
              </w:rPr>
              <w:t>and</w:t>
            </w:r>
            <w:proofErr w:type="gramEnd"/>
            <w:r w:rsidRPr="00936DBC">
              <w:rPr>
                <w:rFonts w:ascii="Gill Sans MT" w:eastAsia="Times New Roman" w:hAnsi="Gill Sans MT" w:cs="Calibri Light"/>
                <w:sz w:val="20"/>
                <w:szCs w:val="20"/>
              </w:rPr>
              <w:t xml:space="preserve"> economic impact study. CHAT discussed the need for town-wide flood resilience.  </w:t>
            </w:r>
          </w:p>
        </w:tc>
      </w:tr>
      <w:tr w:rsidR="00424B82" w:rsidRPr="00B73618" w14:paraId="5EDAD9E0" w14:textId="77777777" w:rsidTr="00743E21">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3685" w:type="dxa"/>
          </w:tcPr>
          <w:p w14:paraId="552D4937" w14:textId="5F4CB23F" w:rsidR="00424B82" w:rsidRPr="00424B82" w:rsidRDefault="00424B82" w:rsidP="00424B82">
            <w:pPr>
              <w:rPr>
                <w:rFonts w:ascii="Gill Sans MT" w:eastAsia="Times New Roman" w:hAnsi="Gill Sans MT" w:cs="Calibri Light"/>
                <w:b w:val="0"/>
                <w:bCs w:val="0"/>
                <w:sz w:val="20"/>
                <w:szCs w:val="20"/>
              </w:rPr>
            </w:pPr>
            <w:r w:rsidRPr="00424B82">
              <w:rPr>
                <w:rFonts w:ascii="Gill Sans MT" w:eastAsia="Times New Roman" w:hAnsi="Gill Sans MT" w:cs="Calibri Light"/>
                <w:b w:val="0"/>
                <w:bCs w:val="0"/>
                <w:sz w:val="20"/>
                <w:szCs w:val="20"/>
              </w:rPr>
              <w:t xml:space="preserve">Projects in the Capital Improvement Plan should identify and account for climate change impacts. </w:t>
            </w:r>
          </w:p>
        </w:tc>
        <w:tc>
          <w:tcPr>
            <w:tcW w:w="4950" w:type="dxa"/>
          </w:tcPr>
          <w:p w14:paraId="2A4F559C" w14:textId="764D4383" w:rsidR="00424B82" w:rsidRPr="00936DBC" w:rsidRDefault="00424B82" w:rsidP="00424B82">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Light"/>
                <w:b/>
                <w:bCs/>
                <w:sz w:val="20"/>
                <w:szCs w:val="20"/>
              </w:rPr>
            </w:pPr>
            <w:r w:rsidRPr="00936DBC">
              <w:rPr>
                <w:rFonts w:ascii="Gill Sans MT" w:eastAsia="Times New Roman" w:hAnsi="Gill Sans MT" w:cs="Calibri Light"/>
                <w:sz w:val="20"/>
                <w:szCs w:val="20"/>
              </w:rPr>
              <w:t xml:space="preserve">Develop a process or policy for staff and departments to follow to identify and account for climate change impacts when submitting a project for inclusion in the Capital Improvement Plan. </w:t>
            </w:r>
          </w:p>
        </w:tc>
        <w:tc>
          <w:tcPr>
            <w:tcW w:w="4950" w:type="dxa"/>
          </w:tcPr>
          <w:p w14:paraId="4C0538CB" w14:textId="77777777" w:rsidR="00424B82" w:rsidRPr="00B73618" w:rsidRDefault="00424B82" w:rsidP="00424B82">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Light"/>
                <w:sz w:val="20"/>
                <w:szCs w:val="20"/>
              </w:rPr>
            </w:pPr>
            <w:r w:rsidRPr="00936DBC">
              <w:rPr>
                <w:rFonts w:ascii="Gill Sans MT" w:eastAsia="Times New Roman" w:hAnsi="Gill Sans MT" w:cs="Calibri Light"/>
                <w:sz w:val="20"/>
                <w:szCs w:val="20"/>
              </w:rPr>
              <w:t xml:space="preserve">CHAT could draft a preliminary process or policy and develop supporting rationale for the policy. </w:t>
            </w:r>
          </w:p>
          <w:p w14:paraId="7F60A5C0" w14:textId="77777777" w:rsidR="00424B82" w:rsidRPr="00B73618" w:rsidRDefault="00424B82" w:rsidP="00424B82">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Light"/>
                <w:sz w:val="20"/>
                <w:szCs w:val="20"/>
              </w:rPr>
            </w:pPr>
          </w:p>
          <w:p w14:paraId="51665DCF" w14:textId="39C3A711" w:rsidR="00424B82" w:rsidRPr="00936DBC" w:rsidRDefault="00424B82" w:rsidP="00424B82">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Light"/>
                <w:sz w:val="20"/>
                <w:szCs w:val="20"/>
              </w:rPr>
            </w:pPr>
            <w:r w:rsidRPr="00B73618">
              <w:rPr>
                <w:rFonts w:ascii="Gill Sans MT" w:eastAsia="Times New Roman" w:hAnsi="Gill Sans MT" w:cs="Calibri Light"/>
                <w:sz w:val="20"/>
                <w:szCs w:val="20"/>
              </w:rPr>
              <w:t xml:space="preserve">Next steps: </w:t>
            </w:r>
            <w:r w:rsidRPr="00936DBC">
              <w:rPr>
                <w:rFonts w:ascii="Gill Sans MT" w:eastAsia="Times New Roman" w:hAnsi="Gill Sans MT" w:cs="Calibri Light"/>
                <w:sz w:val="20"/>
                <w:szCs w:val="20"/>
              </w:rPr>
              <w:t>Identify guest speakers from other communities who could share their experience with this.</w:t>
            </w:r>
          </w:p>
        </w:tc>
      </w:tr>
      <w:tr w:rsidR="00424B82" w:rsidRPr="00B73618" w14:paraId="2EAE0396" w14:textId="77777777" w:rsidTr="00743E21">
        <w:trPr>
          <w:trHeight w:val="278"/>
        </w:trPr>
        <w:tc>
          <w:tcPr>
            <w:cnfStyle w:val="001000000000" w:firstRow="0" w:lastRow="0" w:firstColumn="1" w:lastColumn="0" w:oddVBand="0" w:evenVBand="0" w:oddHBand="0" w:evenHBand="0" w:firstRowFirstColumn="0" w:firstRowLastColumn="0" w:lastRowFirstColumn="0" w:lastRowLastColumn="0"/>
            <w:tcW w:w="3685" w:type="dxa"/>
            <w:tcBorders>
              <w:bottom w:val="single" w:sz="4" w:space="0" w:color="B3B3B7" w:themeColor="accent5" w:themeTint="99"/>
            </w:tcBorders>
          </w:tcPr>
          <w:p w14:paraId="238292C8" w14:textId="1C5EF6AD" w:rsidR="00424B82" w:rsidRPr="00424B82" w:rsidRDefault="00424B82" w:rsidP="00424B82">
            <w:pPr>
              <w:rPr>
                <w:rFonts w:ascii="Gill Sans MT" w:eastAsia="Times New Roman" w:hAnsi="Gill Sans MT" w:cs="Calibri Light"/>
                <w:b w:val="0"/>
                <w:bCs w:val="0"/>
                <w:sz w:val="20"/>
                <w:szCs w:val="20"/>
              </w:rPr>
            </w:pPr>
            <w:r w:rsidRPr="00424B82">
              <w:rPr>
                <w:rFonts w:ascii="Gill Sans MT" w:eastAsia="Times New Roman" w:hAnsi="Gill Sans MT" w:cs="Calibri Light"/>
                <w:b w:val="0"/>
                <w:bCs w:val="0"/>
                <w:sz w:val="20"/>
                <w:szCs w:val="20"/>
              </w:rPr>
              <w:t>Hire a full time Community Resilience &amp; Floodplain Administrator staff position.</w:t>
            </w:r>
          </w:p>
        </w:tc>
        <w:tc>
          <w:tcPr>
            <w:tcW w:w="4950" w:type="dxa"/>
            <w:tcBorders>
              <w:bottom w:val="single" w:sz="4" w:space="0" w:color="B3B3B7" w:themeColor="accent5" w:themeTint="99"/>
            </w:tcBorders>
          </w:tcPr>
          <w:p w14:paraId="56F37511" w14:textId="5E14BED2" w:rsidR="00424B82" w:rsidRPr="00936DBC" w:rsidRDefault="00424B82" w:rsidP="00424B82">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Light"/>
                <w:b/>
                <w:bCs/>
                <w:sz w:val="20"/>
                <w:szCs w:val="20"/>
              </w:rPr>
            </w:pPr>
            <w:r w:rsidRPr="00936DBC">
              <w:rPr>
                <w:rFonts w:ascii="Gill Sans MT" w:eastAsia="Times New Roman" w:hAnsi="Gill Sans MT" w:cs="Calibri Light"/>
                <w:sz w:val="20"/>
                <w:szCs w:val="20"/>
              </w:rPr>
              <w:t xml:space="preserve">Create a full time Community Resilience &amp; Floodplain Administrator staff position. A percentage of this individual's role would be allocated to administering the floodplain ordinance and a percentage would be allocated to building climate resiliency and educating about flood </w:t>
            </w:r>
            <w:r w:rsidRPr="00936DBC">
              <w:rPr>
                <w:rFonts w:ascii="Gill Sans MT" w:eastAsia="Times New Roman" w:hAnsi="Gill Sans MT" w:cs="Calibri Light"/>
                <w:sz w:val="20"/>
                <w:szCs w:val="20"/>
              </w:rPr>
              <w:lastRenderedPageBreak/>
              <w:t xml:space="preserve">and climate resiliency. May be an opportunity for a regional staff person. </w:t>
            </w:r>
          </w:p>
        </w:tc>
        <w:tc>
          <w:tcPr>
            <w:tcW w:w="4950" w:type="dxa"/>
            <w:tcBorders>
              <w:bottom w:val="single" w:sz="4" w:space="0" w:color="B3B3B7" w:themeColor="accent5" w:themeTint="99"/>
            </w:tcBorders>
          </w:tcPr>
          <w:p w14:paraId="4D8CC837" w14:textId="2D60F7B7" w:rsidR="00424B82" w:rsidRPr="00B73618" w:rsidRDefault="00424B82" w:rsidP="00424B82">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Light"/>
                <w:sz w:val="20"/>
                <w:szCs w:val="20"/>
              </w:rPr>
            </w:pPr>
            <w:r w:rsidRPr="00936DBC">
              <w:rPr>
                <w:rFonts w:ascii="Gill Sans MT" w:eastAsia="Times New Roman" w:hAnsi="Gill Sans MT" w:cs="Calibri Light"/>
                <w:sz w:val="20"/>
                <w:szCs w:val="20"/>
              </w:rPr>
              <w:lastRenderedPageBreak/>
              <w:t xml:space="preserve">CHAT drafted position description Aug 2021; NHDES + Town refined description and submitted Project of Special Merit proposal; </w:t>
            </w:r>
            <w:r>
              <w:rPr>
                <w:rFonts w:ascii="Gill Sans MT" w:eastAsia="Times New Roman" w:hAnsi="Gill Sans MT" w:cs="Calibri Light"/>
                <w:sz w:val="20"/>
                <w:szCs w:val="20"/>
              </w:rPr>
              <w:t xml:space="preserve">It is anticipated that the Coastal Resilience Coordinator would start in fall 2022. </w:t>
            </w:r>
          </w:p>
          <w:p w14:paraId="2CE9C5F7" w14:textId="77777777" w:rsidR="00424B82" w:rsidRPr="00B73618" w:rsidRDefault="00424B82" w:rsidP="00424B82">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Light"/>
                <w:sz w:val="20"/>
                <w:szCs w:val="20"/>
              </w:rPr>
            </w:pPr>
          </w:p>
          <w:p w14:paraId="6950F6C1" w14:textId="1F5C625C" w:rsidR="00424B82" w:rsidRPr="00936DBC" w:rsidRDefault="00424B82" w:rsidP="00424B82">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Light"/>
                <w:sz w:val="20"/>
                <w:szCs w:val="20"/>
              </w:rPr>
            </w:pPr>
            <w:r w:rsidRPr="00B73618">
              <w:rPr>
                <w:rFonts w:ascii="Gill Sans MT" w:eastAsia="Times New Roman" w:hAnsi="Gill Sans MT" w:cs="Calibri Light"/>
                <w:sz w:val="20"/>
                <w:szCs w:val="20"/>
              </w:rPr>
              <w:lastRenderedPageBreak/>
              <w:t xml:space="preserve">Next steps: </w:t>
            </w:r>
            <w:r w:rsidRPr="00936DBC">
              <w:rPr>
                <w:rFonts w:ascii="Gill Sans MT" w:eastAsia="Times New Roman" w:hAnsi="Gill Sans MT" w:cs="Calibri Light"/>
                <w:sz w:val="20"/>
                <w:szCs w:val="20"/>
              </w:rPr>
              <w:t xml:space="preserve">Invite future staff </w:t>
            </w:r>
            <w:proofErr w:type="gramStart"/>
            <w:r w:rsidRPr="00936DBC">
              <w:rPr>
                <w:rFonts w:ascii="Gill Sans MT" w:eastAsia="Times New Roman" w:hAnsi="Gill Sans MT" w:cs="Calibri Light"/>
                <w:sz w:val="20"/>
                <w:szCs w:val="20"/>
              </w:rPr>
              <w:t>member</w:t>
            </w:r>
            <w:proofErr w:type="gramEnd"/>
            <w:r w:rsidRPr="00936DBC">
              <w:rPr>
                <w:rFonts w:ascii="Gill Sans MT" w:eastAsia="Times New Roman" w:hAnsi="Gill Sans MT" w:cs="Calibri Light"/>
                <w:sz w:val="20"/>
                <w:szCs w:val="20"/>
              </w:rPr>
              <w:t xml:space="preserve"> to join CHAT. </w:t>
            </w:r>
            <w:r w:rsidRPr="00B73618">
              <w:rPr>
                <w:rFonts w:ascii="Gill Sans MT" w:eastAsia="Times New Roman" w:hAnsi="Gill Sans MT" w:cs="Calibri Light"/>
                <w:sz w:val="20"/>
                <w:szCs w:val="20"/>
              </w:rPr>
              <w:t>Coordinate</w:t>
            </w:r>
            <w:r w:rsidRPr="00936DBC">
              <w:rPr>
                <w:rFonts w:ascii="Gill Sans MT" w:eastAsia="Times New Roman" w:hAnsi="Gill Sans MT" w:cs="Calibri Light"/>
                <w:sz w:val="20"/>
                <w:szCs w:val="20"/>
              </w:rPr>
              <w:t xml:space="preserve"> with staff on community outreach.</w:t>
            </w:r>
          </w:p>
        </w:tc>
      </w:tr>
      <w:tr w:rsidR="00424B82" w:rsidRPr="00B73618" w14:paraId="2A699FFB" w14:textId="77777777" w:rsidTr="00743E2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5" w:type="dxa"/>
            <w:tcBorders>
              <w:right w:val="nil"/>
            </w:tcBorders>
          </w:tcPr>
          <w:p w14:paraId="61662004" w14:textId="64A3DB0D" w:rsidR="00424B82" w:rsidRPr="00424B82" w:rsidRDefault="00424B82" w:rsidP="00424B82">
            <w:pPr>
              <w:rPr>
                <w:rFonts w:ascii="Gill Sans MT" w:eastAsia="Times New Roman" w:hAnsi="Gill Sans MT" w:cs="Calibri Light"/>
                <w:b w:val="0"/>
                <w:bCs w:val="0"/>
                <w:color w:val="00B0F0"/>
                <w:sz w:val="20"/>
                <w:szCs w:val="20"/>
              </w:rPr>
            </w:pPr>
            <w:r w:rsidRPr="00310292">
              <w:rPr>
                <w:rFonts w:ascii="Gill Sans MT" w:eastAsia="Times New Roman" w:hAnsi="Gill Sans MT" w:cs="Calibri Light"/>
                <w:color w:val="00B0F0"/>
                <w:sz w:val="20"/>
                <w:szCs w:val="20"/>
              </w:rPr>
              <w:lastRenderedPageBreak/>
              <w:t>Modeling and Flood Studies</w:t>
            </w:r>
          </w:p>
        </w:tc>
        <w:tc>
          <w:tcPr>
            <w:tcW w:w="4950" w:type="dxa"/>
            <w:tcBorders>
              <w:left w:val="nil"/>
              <w:right w:val="nil"/>
            </w:tcBorders>
          </w:tcPr>
          <w:p w14:paraId="18534D69" w14:textId="57975BA6" w:rsidR="00424B82" w:rsidRPr="00310292" w:rsidRDefault="00424B82" w:rsidP="00424B82">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Light"/>
                <w:sz w:val="20"/>
                <w:szCs w:val="20"/>
              </w:rPr>
            </w:pPr>
          </w:p>
        </w:tc>
        <w:tc>
          <w:tcPr>
            <w:tcW w:w="4950" w:type="dxa"/>
            <w:tcBorders>
              <w:left w:val="nil"/>
            </w:tcBorders>
          </w:tcPr>
          <w:p w14:paraId="31D09825" w14:textId="77777777" w:rsidR="00424B82" w:rsidRPr="00B73618" w:rsidRDefault="00424B82" w:rsidP="00424B82">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Light"/>
                <w:sz w:val="20"/>
                <w:szCs w:val="20"/>
              </w:rPr>
            </w:pPr>
          </w:p>
        </w:tc>
      </w:tr>
      <w:tr w:rsidR="00424B82" w:rsidRPr="00B73618" w14:paraId="11F43CAF" w14:textId="77777777" w:rsidTr="00743E21">
        <w:trPr>
          <w:trHeight w:val="800"/>
        </w:trPr>
        <w:tc>
          <w:tcPr>
            <w:cnfStyle w:val="001000000000" w:firstRow="0" w:lastRow="0" w:firstColumn="1" w:lastColumn="0" w:oddVBand="0" w:evenVBand="0" w:oddHBand="0" w:evenHBand="0" w:firstRowFirstColumn="0" w:firstRowLastColumn="0" w:lastRowFirstColumn="0" w:lastRowLastColumn="0"/>
            <w:tcW w:w="3685" w:type="dxa"/>
          </w:tcPr>
          <w:p w14:paraId="61ECF9BE" w14:textId="022A11E2" w:rsidR="00424B82" w:rsidRPr="00424B82" w:rsidRDefault="00424B82" w:rsidP="00424B82">
            <w:pPr>
              <w:rPr>
                <w:rFonts w:ascii="Gill Sans MT" w:eastAsia="Times New Roman" w:hAnsi="Gill Sans MT" w:cs="Calibri Light"/>
                <w:b w:val="0"/>
                <w:bCs w:val="0"/>
                <w:sz w:val="20"/>
                <w:szCs w:val="20"/>
              </w:rPr>
            </w:pPr>
            <w:r w:rsidRPr="00424B82">
              <w:rPr>
                <w:rFonts w:ascii="Gill Sans MT" w:eastAsia="Times New Roman" w:hAnsi="Gill Sans MT" w:cs="Calibri Light"/>
                <w:b w:val="0"/>
                <w:bCs w:val="0"/>
                <w:sz w:val="20"/>
                <w:szCs w:val="20"/>
              </w:rPr>
              <w:t>Future modeling efforts and studies should build off findings of the flood engineering studies and Master Plan.</w:t>
            </w:r>
          </w:p>
        </w:tc>
        <w:tc>
          <w:tcPr>
            <w:tcW w:w="4950" w:type="dxa"/>
          </w:tcPr>
          <w:p w14:paraId="73995533" w14:textId="07EC0548" w:rsidR="00424B82" w:rsidRPr="00B73618" w:rsidRDefault="00424B82" w:rsidP="00424B82">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Light"/>
                <w:b/>
                <w:bCs/>
                <w:sz w:val="20"/>
                <w:szCs w:val="20"/>
              </w:rPr>
            </w:pPr>
            <w:r w:rsidRPr="00936DBC">
              <w:rPr>
                <w:rFonts w:ascii="Gill Sans MT" w:eastAsia="Times New Roman" w:hAnsi="Gill Sans MT" w:cs="Calibri Light"/>
                <w:sz w:val="20"/>
                <w:szCs w:val="20"/>
              </w:rPr>
              <w:t xml:space="preserve">Utilize data obtained through flood engineering studies and Coastal Management Master Plan Chapter as baseline data for future modeling efforts and studies. </w:t>
            </w:r>
          </w:p>
        </w:tc>
        <w:tc>
          <w:tcPr>
            <w:tcW w:w="4950" w:type="dxa"/>
          </w:tcPr>
          <w:p w14:paraId="67826F49" w14:textId="75099094" w:rsidR="00424B82" w:rsidRPr="00B73618" w:rsidRDefault="00424B82" w:rsidP="00424B82">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Light"/>
                <w:sz w:val="20"/>
                <w:szCs w:val="20"/>
              </w:rPr>
            </w:pPr>
            <w:r w:rsidRPr="00936DBC">
              <w:rPr>
                <w:rFonts w:ascii="Gill Sans MT" w:eastAsia="Times New Roman" w:hAnsi="Gill Sans MT" w:cs="Calibri Light"/>
                <w:sz w:val="20"/>
                <w:szCs w:val="20"/>
              </w:rPr>
              <w:t xml:space="preserve">No immediate action may be required by CHAT for this recommendation. </w:t>
            </w:r>
          </w:p>
        </w:tc>
      </w:tr>
      <w:tr w:rsidR="00424B82" w:rsidRPr="00B73618" w14:paraId="2DB90EEA" w14:textId="77777777" w:rsidTr="00743E21">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685" w:type="dxa"/>
            <w:tcBorders>
              <w:bottom w:val="single" w:sz="4" w:space="0" w:color="B3B3B7" w:themeColor="accent5" w:themeTint="99"/>
            </w:tcBorders>
          </w:tcPr>
          <w:p w14:paraId="230FD168" w14:textId="22FCC612" w:rsidR="00424B82" w:rsidRPr="00424B82" w:rsidRDefault="00424B82" w:rsidP="00424B82">
            <w:pPr>
              <w:rPr>
                <w:rFonts w:ascii="Gill Sans MT" w:eastAsia="Times New Roman" w:hAnsi="Gill Sans MT" w:cs="Calibri Light"/>
                <w:b w:val="0"/>
                <w:bCs w:val="0"/>
                <w:sz w:val="20"/>
                <w:szCs w:val="20"/>
              </w:rPr>
            </w:pPr>
            <w:r w:rsidRPr="00424B82">
              <w:rPr>
                <w:rFonts w:ascii="Gill Sans MT" w:eastAsia="Times New Roman" w:hAnsi="Gill Sans MT" w:cs="Calibri Light"/>
                <w:b w:val="0"/>
                <w:bCs w:val="0"/>
                <w:sz w:val="20"/>
                <w:szCs w:val="20"/>
              </w:rPr>
              <w:t>Look for and apply for funding to continue engineering and hydrogeological studies and address flooding and drainage issues.</w:t>
            </w:r>
          </w:p>
        </w:tc>
        <w:tc>
          <w:tcPr>
            <w:tcW w:w="4950" w:type="dxa"/>
            <w:tcBorders>
              <w:bottom w:val="single" w:sz="4" w:space="0" w:color="B3B3B7" w:themeColor="accent5" w:themeTint="99"/>
            </w:tcBorders>
          </w:tcPr>
          <w:p w14:paraId="10E8316F" w14:textId="7BC05597" w:rsidR="00424B82" w:rsidRPr="00936DBC" w:rsidRDefault="00424B82" w:rsidP="00424B82">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Light"/>
                <w:b/>
                <w:bCs/>
                <w:sz w:val="20"/>
                <w:szCs w:val="20"/>
              </w:rPr>
            </w:pPr>
            <w:r w:rsidRPr="00936DBC">
              <w:rPr>
                <w:rFonts w:ascii="Gill Sans MT" w:eastAsia="Times New Roman" w:hAnsi="Gill Sans MT" w:cs="Calibri Light"/>
                <w:sz w:val="20"/>
                <w:szCs w:val="20"/>
              </w:rPr>
              <w:t xml:space="preserve">Seek funding to continue engineering and hydrogeological studies and address flooding and drainage in vulnerable areas. </w:t>
            </w:r>
          </w:p>
        </w:tc>
        <w:tc>
          <w:tcPr>
            <w:tcW w:w="4950" w:type="dxa"/>
            <w:tcBorders>
              <w:bottom w:val="single" w:sz="4" w:space="0" w:color="B3B3B7" w:themeColor="accent5" w:themeTint="99"/>
            </w:tcBorders>
          </w:tcPr>
          <w:p w14:paraId="70ADE505" w14:textId="7FDF1098" w:rsidR="00424B82" w:rsidRPr="00936DBC" w:rsidRDefault="00424B82" w:rsidP="00424B82">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Light"/>
                <w:sz w:val="20"/>
                <w:szCs w:val="20"/>
              </w:rPr>
            </w:pPr>
            <w:r w:rsidRPr="00936DBC">
              <w:rPr>
                <w:rFonts w:ascii="Gill Sans MT" w:eastAsia="Times New Roman" w:hAnsi="Gill Sans MT" w:cs="Calibri Light"/>
                <w:sz w:val="20"/>
                <w:szCs w:val="20"/>
              </w:rPr>
              <w:t>CHAT’s role could be to identify outreach and educational needs on this topic, assist with identifying funding sources</w:t>
            </w:r>
            <w:r>
              <w:rPr>
                <w:rFonts w:ascii="Gill Sans MT" w:eastAsia="Times New Roman" w:hAnsi="Gill Sans MT" w:cs="Calibri Light"/>
                <w:sz w:val="20"/>
                <w:szCs w:val="20"/>
              </w:rPr>
              <w:t>.</w:t>
            </w:r>
          </w:p>
        </w:tc>
      </w:tr>
      <w:tr w:rsidR="00424B82" w:rsidRPr="00B73618" w14:paraId="1FF4F87F" w14:textId="77777777" w:rsidTr="00743E21">
        <w:trPr>
          <w:trHeight w:val="305"/>
        </w:trPr>
        <w:tc>
          <w:tcPr>
            <w:cnfStyle w:val="001000000000" w:firstRow="0" w:lastRow="0" w:firstColumn="1" w:lastColumn="0" w:oddVBand="0" w:evenVBand="0" w:oddHBand="0" w:evenHBand="0" w:firstRowFirstColumn="0" w:firstRowLastColumn="0" w:lastRowFirstColumn="0" w:lastRowLastColumn="0"/>
            <w:tcW w:w="3685" w:type="dxa"/>
            <w:tcBorders>
              <w:right w:val="nil"/>
            </w:tcBorders>
          </w:tcPr>
          <w:p w14:paraId="5831A1F2" w14:textId="0F427A19" w:rsidR="00424B82" w:rsidRPr="00424B82" w:rsidRDefault="00424B82" w:rsidP="00424B82">
            <w:pPr>
              <w:rPr>
                <w:rFonts w:ascii="Gill Sans MT" w:eastAsia="Times New Roman" w:hAnsi="Gill Sans MT" w:cs="Calibri Light"/>
                <w:b w:val="0"/>
                <w:bCs w:val="0"/>
                <w:color w:val="00B0F0"/>
                <w:sz w:val="20"/>
                <w:szCs w:val="20"/>
              </w:rPr>
            </w:pPr>
            <w:r>
              <w:rPr>
                <w:rFonts w:ascii="Gill Sans MT" w:eastAsia="Times New Roman" w:hAnsi="Gill Sans MT" w:cs="Calibri Light"/>
                <w:color w:val="00B0F0"/>
                <w:sz w:val="20"/>
                <w:szCs w:val="20"/>
              </w:rPr>
              <w:t>Risk Disclosure</w:t>
            </w:r>
          </w:p>
        </w:tc>
        <w:tc>
          <w:tcPr>
            <w:tcW w:w="4950" w:type="dxa"/>
            <w:tcBorders>
              <w:left w:val="nil"/>
              <w:right w:val="nil"/>
            </w:tcBorders>
          </w:tcPr>
          <w:p w14:paraId="051ADAC6" w14:textId="5C42F1C8" w:rsidR="00424B82" w:rsidRPr="00647006" w:rsidRDefault="00424B82" w:rsidP="00424B82">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Light"/>
                <w:sz w:val="20"/>
                <w:szCs w:val="20"/>
              </w:rPr>
            </w:pPr>
          </w:p>
        </w:tc>
        <w:tc>
          <w:tcPr>
            <w:tcW w:w="4950" w:type="dxa"/>
            <w:tcBorders>
              <w:left w:val="nil"/>
            </w:tcBorders>
          </w:tcPr>
          <w:p w14:paraId="66AD431F" w14:textId="77777777" w:rsidR="00424B82" w:rsidRPr="00936DBC" w:rsidRDefault="00424B82" w:rsidP="00424B82">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Calibri Light"/>
                <w:sz w:val="20"/>
                <w:szCs w:val="20"/>
              </w:rPr>
            </w:pPr>
          </w:p>
        </w:tc>
      </w:tr>
      <w:tr w:rsidR="00424B82" w:rsidRPr="00B73618" w14:paraId="56E6BC77" w14:textId="77777777" w:rsidTr="00743E21">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3685" w:type="dxa"/>
          </w:tcPr>
          <w:p w14:paraId="564BE620" w14:textId="56477882" w:rsidR="00424B82" w:rsidRPr="00424B82" w:rsidRDefault="00424B82" w:rsidP="00424B82">
            <w:pPr>
              <w:rPr>
                <w:rFonts w:ascii="Gill Sans MT" w:eastAsia="Times New Roman" w:hAnsi="Gill Sans MT" w:cs="Calibri Light"/>
                <w:b w:val="0"/>
                <w:bCs w:val="0"/>
                <w:sz w:val="20"/>
                <w:szCs w:val="20"/>
              </w:rPr>
            </w:pPr>
            <w:r w:rsidRPr="00424B82">
              <w:rPr>
                <w:rFonts w:ascii="Gill Sans MT" w:eastAsia="Times New Roman" w:hAnsi="Gill Sans MT" w:cs="Calibri Light"/>
                <w:b w:val="0"/>
                <w:bCs w:val="0"/>
                <w:sz w:val="20"/>
                <w:szCs w:val="20"/>
              </w:rPr>
              <w:t>Advocate options to require flood risk disclosure, including, but not limited, to statewide legislation that requires that current and future flood risk is disclosed so that future owners are aware of the potential risk.</w:t>
            </w:r>
          </w:p>
        </w:tc>
        <w:tc>
          <w:tcPr>
            <w:tcW w:w="4950" w:type="dxa"/>
          </w:tcPr>
          <w:p w14:paraId="55A6E5C6" w14:textId="08DEC108" w:rsidR="00424B82" w:rsidRPr="00936DBC" w:rsidRDefault="00424B82" w:rsidP="00424B82">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Light"/>
                <w:b/>
                <w:bCs/>
                <w:sz w:val="20"/>
                <w:szCs w:val="20"/>
              </w:rPr>
            </w:pPr>
            <w:r w:rsidRPr="00505E0F">
              <w:rPr>
                <w:rFonts w:ascii="Gill Sans MT" w:eastAsia="Times New Roman" w:hAnsi="Gill Sans MT" w:cs="Calibri Light"/>
                <w:sz w:val="20"/>
                <w:szCs w:val="20"/>
              </w:rPr>
              <w:t>Advocate options to require flood risk disclosure, including, but not limited, to statewide legislation that requires that current and future flood risk is disclosed so that future owners are aware of the potential risk.</w:t>
            </w:r>
          </w:p>
        </w:tc>
        <w:tc>
          <w:tcPr>
            <w:tcW w:w="4950" w:type="dxa"/>
          </w:tcPr>
          <w:p w14:paraId="6E790334" w14:textId="02EB033C" w:rsidR="00424B82" w:rsidRPr="00936DBC" w:rsidRDefault="00424B82" w:rsidP="00424B82">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Light"/>
                <w:sz w:val="20"/>
                <w:szCs w:val="20"/>
              </w:rPr>
            </w:pPr>
            <w:r>
              <w:rPr>
                <w:rFonts w:ascii="Gill Sans MT" w:eastAsia="Times New Roman" w:hAnsi="Gill Sans MT" w:cs="Calibri Light"/>
                <w:sz w:val="20"/>
                <w:szCs w:val="20"/>
              </w:rPr>
              <w:t xml:space="preserve">CHAT could review reports on states with disclosures and identify potential recommendations for New Hampshire. </w:t>
            </w:r>
          </w:p>
        </w:tc>
      </w:tr>
    </w:tbl>
    <w:p w14:paraId="29453163" w14:textId="5E847C34" w:rsidR="004E2AD7" w:rsidRPr="004E2AD7" w:rsidRDefault="004E2AD7" w:rsidP="004E2AD7">
      <w:pPr>
        <w:tabs>
          <w:tab w:val="left" w:pos="5400"/>
        </w:tabs>
        <w:rPr>
          <w:rFonts w:ascii="Gill Sans MT" w:hAnsi="Gill Sans MT"/>
          <w:sz w:val="20"/>
          <w:szCs w:val="20"/>
        </w:rPr>
      </w:pPr>
      <w:r>
        <w:rPr>
          <w:rFonts w:ascii="Gill Sans MT" w:hAnsi="Gill Sans MT"/>
          <w:sz w:val="20"/>
          <w:szCs w:val="20"/>
        </w:rPr>
        <w:tab/>
      </w:r>
    </w:p>
    <w:sectPr w:rsidR="004E2AD7" w:rsidRPr="004E2AD7" w:rsidSect="003D5EC3">
      <w:headerReference w:type="default" r:id="rId8"/>
      <w:footerReference w:type="default" r:id="rId9"/>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32FC1" w14:textId="77777777" w:rsidR="002E4FAB" w:rsidRDefault="002E4FAB" w:rsidP="004E59CD">
      <w:pPr>
        <w:spacing w:after="0" w:line="240" w:lineRule="auto"/>
      </w:pPr>
      <w:r>
        <w:separator/>
      </w:r>
    </w:p>
  </w:endnote>
  <w:endnote w:type="continuationSeparator" w:id="0">
    <w:p w14:paraId="742EA8B9" w14:textId="77777777" w:rsidR="002E4FAB" w:rsidRDefault="002E4FAB" w:rsidP="004E5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67EE" w14:textId="732CC178" w:rsidR="004E59CD" w:rsidRPr="003D5EC3" w:rsidRDefault="00413661" w:rsidP="004E59CD">
    <w:pPr>
      <w:pStyle w:val="Footer"/>
      <w:rPr>
        <w:rFonts w:ascii="Gill Sans MT" w:hAnsi="Gill Sans MT"/>
      </w:rPr>
    </w:pPr>
    <w:r w:rsidRPr="000020AA">
      <w:rPr>
        <w:rFonts w:ascii="Gill Sans MT" w:hAnsi="Gill Sans MT"/>
      </w:rPr>
      <w:t xml:space="preserve">Working List of Recommendations - </w:t>
    </w:r>
    <w:r w:rsidR="004E59CD" w:rsidRPr="000020AA">
      <w:rPr>
        <w:rFonts w:ascii="Gill Sans MT" w:hAnsi="Gill Sans MT"/>
      </w:rPr>
      <w:t xml:space="preserve">Last updated </w:t>
    </w:r>
    <w:r w:rsidR="00454CD1" w:rsidRPr="000020AA">
      <w:rPr>
        <w:rFonts w:ascii="Gill Sans MT" w:hAnsi="Gill Sans MT"/>
      </w:rPr>
      <w:t xml:space="preserve">October </w:t>
    </w:r>
    <w:r w:rsidR="004E2AD7">
      <w:rPr>
        <w:rFonts w:ascii="Gill Sans MT" w:hAnsi="Gill Sans MT"/>
      </w:rPr>
      <w:t>27</w:t>
    </w:r>
    <w:r w:rsidR="004E59CD" w:rsidRPr="000020AA">
      <w:rPr>
        <w:rFonts w:ascii="Gill Sans MT" w:hAnsi="Gill Sans MT"/>
      </w:rPr>
      <w:t>, 2022</w:t>
    </w:r>
    <w:r w:rsidR="004E59CD" w:rsidRPr="003D5EC3">
      <w:rPr>
        <w:rFonts w:ascii="Gill Sans MT" w:hAnsi="Gill Sans MT"/>
      </w:rPr>
      <w:ptab w:relativeTo="margin" w:alignment="right" w:leader="none"/>
    </w:r>
    <w:r w:rsidR="004E59CD" w:rsidRPr="003D5EC3">
      <w:rPr>
        <w:rFonts w:ascii="Gill Sans MT" w:hAnsi="Gill Sans MT"/>
      </w:rPr>
      <w:fldChar w:fldCharType="begin"/>
    </w:r>
    <w:r w:rsidR="004E59CD" w:rsidRPr="003D5EC3">
      <w:rPr>
        <w:rFonts w:ascii="Gill Sans MT" w:hAnsi="Gill Sans MT"/>
      </w:rPr>
      <w:instrText xml:space="preserve"> PAGE  \* Arabic  \* MERGEFORMAT </w:instrText>
    </w:r>
    <w:r w:rsidR="004E59CD" w:rsidRPr="003D5EC3">
      <w:rPr>
        <w:rFonts w:ascii="Gill Sans MT" w:hAnsi="Gill Sans MT"/>
      </w:rPr>
      <w:fldChar w:fldCharType="separate"/>
    </w:r>
    <w:r w:rsidR="004E59CD" w:rsidRPr="003D5EC3">
      <w:rPr>
        <w:rFonts w:ascii="Gill Sans MT" w:hAnsi="Gill Sans MT"/>
        <w:noProof/>
      </w:rPr>
      <w:t>3</w:t>
    </w:r>
    <w:r w:rsidR="004E59CD" w:rsidRPr="003D5EC3">
      <w:rPr>
        <w:rFonts w:ascii="Gill Sans MT" w:hAnsi="Gill Sans M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8B16A" w14:textId="77777777" w:rsidR="002E4FAB" w:rsidRDefault="002E4FAB" w:rsidP="004E59CD">
      <w:pPr>
        <w:spacing w:after="0" w:line="240" w:lineRule="auto"/>
      </w:pPr>
      <w:r>
        <w:separator/>
      </w:r>
    </w:p>
  </w:footnote>
  <w:footnote w:type="continuationSeparator" w:id="0">
    <w:p w14:paraId="42B7404A" w14:textId="77777777" w:rsidR="002E4FAB" w:rsidRDefault="002E4FAB" w:rsidP="004E5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197C" w14:textId="77777777" w:rsidR="00413661" w:rsidRPr="00930765" w:rsidRDefault="00413661" w:rsidP="00413661">
    <w:pPr>
      <w:pStyle w:val="ListParagraph"/>
      <w:spacing w:after="0"/>
      <w:ind w:left="0"/>
      <w:rPr>
        <w:rFonts w:ascii="Gill Sans MT" w:hAnsi="Gill Sans MT"/>
        <w:color w:val="00B0F0"/>
        <w:sz w:val="36"/>
        <w:szCs w:val="36"/>
      </w:rPr>
    </w:pPr>
    <w:r w:rsidRPr="00930765">
      <w:rPr>
        <w:rFonts w:ascii="Gill Sans MT" w:hAnsi="Gill Sans MT"/>
        <w:color w:val="00B0F0"/>
        <w:sz w:val="36"/>
        <w:szCs w:val="36"/>
      </w:rPr>
      <w:t xml:space="preserve">HAMPTON COASTAL HAZARDS ADAPTATION TEAM (CHAT) </w:t>
    </w:r>
  </w:p>
  <w:p w14:paraId="58B93548" w14:textId="55B322DD" w:rsidR="00454CD1" w:rsidRDefault="00413661" w:rsidP="00413661">
    <w:pPr>
      <w:pStyle w:val="Header"/>
      <w:spacing w:line="259" w:lineRule="auto"/>
      <w:rPr>
        <w:rFonts w:ascii="Gill Sans MT" w:hAnsi="Gill Sans MT"/>
        <w:color w:val="ED7D31"/>
        <w:sz w:val="36"/>
        <w:szCs w:val="36"/>
      </w:rPr>
    </w:pPr>
    <w:r w:rsidRPr="00813DDD">
      <w:rPr>
        <w:rFonts w:ascii="Gill Sans MT" w:hAnsi="Gill Sans MT"/>
        <w:color w:val="ED7D31"/>
        <w:sz w:val="36"/>
        <w:szCs w:val="36"/>
      </w:rPr>
      <w:t>Recommendations to Address Flood Hazards and Sea Level Rise</w:t>
    </w:r>
    <w:r w:rsidR="00D65EF5">
      <w:rPr>
        <w:rFonts w:ascii="Gill Sans MT" w:hAnsi="Gill Sans MT"/>
        <w:color w:val="ED7D31"/>
        <w:sz w:val="36"/>
        <w:szCs w:val="36"/>
      </w:rPr>
      <w:t xml:space="preserve"> &amp; Supplemental Info</w:t>
    </w:r>
  </w:p>
  <w:p w14:paraId="553AA71A" w14:textId="15B4EA19" w:rsidR="00F474D1" w:rsidRPr="001B05DA" w:rsidRDefault="00F474D1" w:rsidP="00743E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6D77"/>
    <w:multiLevelType w:val="multilevel"/>
    <w:tmpl w:val="EA24F89C"/>
    <w:styleLink w:val="SacoZO"/>
    <w:lvl w:ilvl="0">
      <w:start w:val="1"/>
      <w:numFmt w:val="upperRoman"/>
      <w:suff w:val="space"/>
      <w:lvlText w:val="Article %1. "/>
      <w:lvlJc w:val="center"/>
      <w:pPr>
        <w:ind w:left="360" w:hanging="72"/>
      </w:pPr>
      <w:rPr>
        <w:rFonts w:hint="default"/>
      </w:rPr>
    </w:lvl>
    <w:lvl w:ilvl="1">
      <w:start w:val="1"/>
      <w:numFmt w:val="decimalZero"/>
      <w:isLgl/>
      <w:lvlText w:val="§ %1%2"/>
      <w:lvlJc w:val="left"/>
      <w:pPr>
        <w:ind w:left="0" w:firstLine="0"/>
      </w:pPr>
      <w:rPr>
        <w:rFonts w:hint="default"/>
      </w:rPr>
    </w:lvl>
    <w:lvl w:ilvl="2">
      <w:start w:val="1"/>
      <w:numFmt w:val="upperLetter"/>
      <w:lvlText w:val="%3."/>
      <w:lvlJc w:val="left"/>
      <w:pPr>
        <w:ind w:left="72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1A7A72"/>
    <w:multiLevelType w:val="multilevel"/>
    <w:tmpl w:val="A9FA7ECA"/>
    <w:styleLink w:val="multilevelSaco"/>
    <w:lvl w:ilvl="0">
      <w:start w:val="1"/>
      <w:numFmt w:val="upperRoman"/>
      <w:suff w:val="space"/>
      <w:lvlText w:val="Article %1 "/>
      <w:lvlJc w:val="center"/>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720" w:hanging="360"/>
      </w:pPr>
      <w:rPr>
        <w:rFonts w:hint="default"/>
        <w:b/>
        <w:i w:val="0"/>
      </w:rPr>
    </w:lvl>
    <w:lvl w:ilvl="2">
      <w:start w:val="1"/>
      <w:numFmt w:val="upp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FD044F0"/>
    <w:multiLevelType w:val="hybridMultilevel"/>
    <w:tmpl w:val="E8E2E75A"/>
    <w:lvl w:ilvl="0" w:tplc="09A0C0C6">
      <w:start w:val="1"/>
      <w:numFmt w:val="bullet"/>
      <w:pStyle w:val="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19198410">
    <w:abstractNumId w:val="1"/>
  </w:num>
  <w:num w:numId="2" w16cid:durableId="1868056307">
    <w:abstractNumId w:val="0"/>
  </w:num>
  <w:num w:numId="3" w16cid:durableId="19504324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DBC"/>
    <w:rsid w:val="000020AA"/>
    <w:rsid w:val="00033700"/>
    <w:rsid w:val="00044D87"/>
    <w:rsid w:val="000F1D0D"/>
    <w:rsid w:val="00130C66"/>
    <w:rsid w:val="00150A72"/>
    <w:rsid w:val="00182984"/>
    <w:rsid w:val="001B05DA"/>
    <w:rsid w:val="001D4BC8"/>
    <w:rsid w:val="001F5A30"/>
    <w:rsid w:val="002254F1"/>
    <w:rsid w:val="002E0B68"/>
    <w:rsid w:val="002E4FAB"/>
    <w:rsid w:val="00310292"/>
    <w:rsid w:val="003265D9"/>
    <w:rsid w:val="003D4423"/>
    <w:rsid w:val="003D5EC3"/>
    <w:rsid w:val="003F76C1"/>
    <w:rsid w:val="00413661"/>
    <w:rsid w:val="00424B82"/>
    <w:rsid w:val="00454CD1"/>
    <w:rsid w:val="004730D2"/>
    <w:rsid w:val="004E2AD7"/>
    <w:rsid w:val="004E59CD"/>
    <w:rsid w:val="00505E0F"/>
    <w:rsid w:val="005443B5"/>
    <w:rsid w:val="00584816"/>
    <w:rsid w:val="005C57F4"/>
    <w:rsid w:val="00647006"/>
    <w:rsid w:val="00653787"/>
    <w:rsid w:val="00674F1F"/>
    <w:rsid w:val="00675652"/>
    <w:rsid w:val="006B137D"/>
    <w:rsid w:val="006F07A9"/>
    <w:rsid w:val="00743E21"/>
    <w:rsid w:val="00756BE6"/>
    <w:rsid w:val="007C0C3F"/>
    <w:rsid w:val="008057B2"/>
    <w:rsid w:val="00813DDD"/>
    <w:rsid w:val="00851B81"/>
    <w:rsid w:val="008D7E57"/>
    <w:rsid w:val="00933091"/>
    <w:rsid w:val="00936DBC"/>
    <w:rsid w:val="00947E7F"/>
    <w:rsid w:val="009734B6"/>
    <w:rsid w:val="00974422"/>
    <w:rsid w:val="00997860"/>
    <w:rsid w:val="00A04415"/>
    <w:rsid w:val="00A14851"/>
    <w:rsid w:val="00AB3054"/>
    <w:rsid w:val="00AB6ED0"/>
    <w:rsid w:val="00B16974"/>
    <w:rsid w:val="00B4511F"/>
    <w:rsid w:val="00B60737"/>
    <w:rsid w:val="00B73618"/>
    <w:rsid w:val="00BA0BC7"/>
    <w:rsid w:val="00BB4092"/>
    <w:rsid w:val="00C03FDD"/>
    <w:rsid w:val="00C80BFA"/>
    <w:rsid w:val="00C97F42"/>
    <w:rsid w:val="00CA10F2"/>
    <w:rsid w:val="00CA67FA"/>
    <w:rsid w:val="00D10C33"/>
    <w:rsid w:val="00D5508C"/>
    <w:rsid w:val="00D65EF5"/>
    <w:rsid w:val="00DA58A4"/>
    <w:rsid w:val="00DE3EC0"/>
    <w:rsid w:val="00DE49FB"/>
    <w:rsid w:val="00DE69D4"/>
    <w:rsid w:val="00E31FA7"/>
    <w:rsid w:val="00E45F7F"/>
    <w:rsid w:val="00F00794"/>
    <w:rsid w:val="00F474D1"/>
    <w:rsid w:val="00FB09B5"/>
    <w:rsid w:val="00FB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42C01"/>
  <w14:defaultImageDpi w14:val="330"/>
  <w15:chartTrackingRefBased/>
  <w15:docId w15:val="{1587F887-FE9A-44A1-ADDF-9069A8BC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ultilevelSaco">
    <w:name w:val="multilevelSaco"/>
    <w:uiPriority w:val="99"/>
    <w:rsid w:val="003265D9"/>
    <w:pPr>
      <w:numPr>
        <w:numId w:val="1"/>
      </w:numPr>
    </w:pPr>
  </w:style>
  <w:style w:type="numbering" w:customStyle="1" w:styleId="SacoZO">
    <w:name w:val="SacoZO"/>
    <w:uiPriority w:val="99"/>
    <w:rsid w:val="001F5A30"/>
    <w:pPr>
      <w:numPr>
        <w:numId w:val="2"/>
      </w:numPr>
    </w:pPr>
  </w:style>
  <w:style w:type="table" w:styleId="GridTable6Colorful">
    <w:name w:val="Grid Table 6 Colorful"/>
    <w:basedOn w:val="TableNormal"/>
    <w:uiPriority w:val="51"/>
    <w:rsid w:val="00B4511F"/>
    <w:pPr>
      <w:spacing w:after="0" w:line="240" w:lineRule="auto"/>
    </w:pPr>
    <w:rPr>
      <w:color w:val="07373A" w:themeColor="text1"/>
    </w:rPr>
    <w:tblPr>
      <w:tblStyleRowBandSize w:val="1"/>
      <w:tblStyleColBandSize w:val="1"/>
      <w:tblBorders>
        <w:top w:val="single" w:sz="4" w:space="0" w:color="1ACDD8" w:themeColor="text1" w:themeTint="99"/>
        <w:left w:val="single" w:sz="4" w:space="0" w:color="1ACDD8" w:themeColor="text1" w:themeTint="99"/>
        <w:bottom w:val="single" w:sz="4" w:space="0" w:color="1ACDD8" w:themeColor="text1" w:themeTint="99"/>
        <w:right w:val="single" w:sz="4" w:space="0" w:color="1ACDD8" w:themeColor="text1" w:themeTint="99"/>
        <w:insideH w:val="single" w:sz="4" w:space="0" w:color="1ACDD8" w:themeColor="text1" w:themeTint="99"/>
        <w:insideV w:val="single" w:sz="4" w:space="0" w:color="1ACDD8" w:themeColor="text1" w:themeTint="99"/>
      </w:tblBorders>
    </w:tblPr>
    <w:tblStylePr w:type="firstRow">
      <w:pPr>
        <w:jc w:val="left"/>
      </w:pPr>
      <w:rPr>
        <w:b/>
        <w:bCs/>
        <w:color w:val="FFFFFF" w:themeColor="background1"/>
      </w:rPr>
      <w:tblPr/>
      <w:tcPr>
        <w:shd w:val="clear" w:color="auto" w:fill="0C4C23" w:themeFill="accent1" w:themeFillShade="80"/>
        <w:vAlign w:val="center"/>
      </w:tcPr>
    </w:tblStylePr>
    <w:tblStylePr w:type="lastRow">
      <w:rPr>
        <w:b/>
        <w:bCs/>
      </w:rPr>
      <w:tblPr/>
      <w:tcPr>
        <w:tcBorders>
          <w:top w:val="double" w:sz="4" w:space="0" w:color="1ACDD8" w:themeColor="text1" w:themeTint="99"/>
        </w:tcBorders>
      </w:tcPr>
    </w:tblStylePr>
    <w:tblStylePr w:type="firstCol">
      <w:rPr>
        <w:b/>
        <w:bCs/>
      </w:rPr>
    </w:tblStylePr>
    <w:tblStylePr w:type="lastCol">
      <w:rPr>
        <w:b/>
        <w:bCs/>
      </w:rPr>
    </w:tblStylePr>
    <w:tblStylePr w:type="band1Vert">
      <w:tblPr/>
      <w:tcPr>
        <w:shd w:val="clear" w:color="auto" w:fill="AFF1F5" w:themeFill="text1" w:themeFillTint="33"/>
      </w:tcPr>
    </w:tblStylePr>
    <w:tblStylePr w:type="band1Horz">
      <w:tblPr/>
      <w:tcPr>
        <w:shd w:val="clear" w:color="auto" w:fill="FFFFFF" w:themeFill="background1"/>
      </w:tcPr>
    </w:tblStylePr>
    <w:tblStylePr w:type="band2Horz">
      <w:tblPr/>
      <w:tcPr>
        <w:shd w:val="clear" w:color="auto" w:fill="D9D9D9" w:themeFill="background1" w:themeFillShade="D9"/>
      </w:tcPr>
    </w:tblStylePr>
  </w:style>
  <w:style w:type="table" w:styleId="GridTable4-Accent5">
    <w:name w:val="Grid Table 4 Accent 5"/>
    <w:basedOn w:val="TableNormal"/>
    <w:uiPriority w:val="49"/>
    <w:rsid w:val="00936DBC"/>
    <w:pPr>
      <w:spacing w:after="0" w:line="240" w:lineRule="auto"/>
    </w:pPr>
    <w:tblPr>
      <w:tblStyleRowBandSize w:val="1"/>
      <w:tblStyleColBandSize w:val="1"/>
      <w:tblBorders>
        <w:top w:val="single" w:sz="4" w:space="0" w:color="B3B3B7" w:themeColor="accent5" w:themeTint="99"/>
        <w:left w:val="single" w:sz="4" w:space="0" w:color="B3B3B7" w:themeColor="accent5" w:themeTint="99"/>
        <w:bottom w:val="single" w:sz="4" w:space="0" w:color="B3B3B7" w:themeColor="accent5" w:themeTint="99"/>
        <w:right w:val="single" w:sz="4" w:space="0" w:color="B3B3B7" w:themeColor="accent5" w:themeTint="99"/>
        <w:insideH w:val="single" w:sz="4" w:space="0" w:color="B3B3B7" w:themeColor="accent5" w:themeTint="99"/>
        <w:insideV w:val="single" w:sz="4" w:space="0" w:color="B3B3B7" w:themeColor="accent5" w:themeTint="99"/>
      </w:tblBorders>
    </w:tblPr>
    <w:tblStylePr w:type="firstRow">
      <w:rPr>
        <w:b/>
        <w:bCs/>
        <w:color w:val="FFFFFF" w:themeColor="background1"/>
      </w:rPr>
      <w:tblPr/>
      <w:tcPr>
        <w:tcBorders>
          <w:top w:val="single" w:sz="4" w:space="0" w:color="828288" w:themeColor="accent5"/>
          <w:left w:val="single" w:sz="4" w:space="0" w:color="828288" w:themeColor="accent5"/>
          <w:bottom w:val="single" w:sz="4" w:space="0" w:color="828288" w:themeColor="accent5"/>
          <w:right w:val="single" w:sz="4" w:space="0" w:color="828288" w:themeColor="accent5"/>
          <w:insideH w:val="nil"/>
          <w:insideV w:val="nil"/>
        </w:tcBorders>
        <w:shd w:val="clear" w:color="auto" w:fill="828288" w:themeFill="accent5"/>
      </w:tcPr>
    </w:tblStylePr>
    <w:tblStylePr w:type="lastRow">
      <w:rPr>
        <w:b/>
        <w:bCs/>
      </w:rPr>
      <w:tblPr/>
      <w:tcPr>
        <w:tcBorders>
          <w:top w:val="double" w:sz="4" w:space="0" w:color="828288" w:themeColor="accent5"/>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paragraph" w:styleId="Header">
    <w:name w:val="header"/>
    <w:basedOn w:val="Normal"/>
    <w:link w:val="HeaderChar"/>
    <w:uiPriority w:val="99"/>
    <w:unhideWhenUsed/>
    <w:rsid w:val="004E5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9CD"/>
  </w:style>
  <w:style w:type="paragraph" w:styleId="Footer">
    <w:name w:val="footer"/>
    <w:basedOn w:val="Normal"/>
    <w:link w:val="FooterChar"/>
    <w:uiPriority w:val="99"/>
    <w:unhideWhenUsed/>
    <w:rsid w:val="004E5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9CD"/>
  </w:style>
  <w:style w:type="paragraph" w:styleId="ListParagraph">
    <w:name w:val="List Paragraph"/>
    <w:basedOn w:val="Normal"/>
    <w:uiPriority w:val="34"/>
    <w:qFormat/>
    <w:rsid w:val="00413661"/>
    <w:pPr>
      <w:ind w:left="720"/>
      <w:contextualSpacing/>
    </w:pPr>
  </w:style>
  <w:style w:type="paragraph" w:customStyle="1" w:styleId="Bullets">
    <w:name w:val="Bullets"/>
    <w:basedOn w:val="ListParagraph"/>
    <w:qFormat/>
    <w:rsid w:val="008057B2"/>
    <w:pPr>
      <w:numPr>
        <w:numId w:val="3"/>
      </w:numPr>
      <w:spacing w:before="100" w:after="200" w:line="276" w:lineRule="auto"/>
      <w:ind w:left="720"/>
    </w:pPr>
    <w:rPr>
      <w:rFonts w:ascii="Gill Sans MT" w:hAnsi="Gill Sans MT"/>
    </w:rPr>
  </w:style>
  <w:style w:type="paragraph" w:customStyle="1" w:styleId="bulletsv2">
    <w:name w:val="bullets v2"/>
    <w:basedOn w:val="Bullets"/>
    <w:qFormat/>
    <w:rsid w:val="008057B2"/>
    <w:pPr>
      <w:spacing w:before="40" w:line="259" w:lineRule="auto"/>
      <w:ind w:left="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531516">
      <w:bodyDiv w:val="1"/>
      <w:marLeft w:val="0"/>
      <w:marRight w:val="0"/>
      <w:marTop w:val="0"/>
      <w:marBottom w:val="0"/>
      <w:divBdr>
        <w:top w:val="none" w:sz="0" w:space="0" w:color="auto"/>
        <w:left w:val="none" w:sz="0" w:space="0" w:color="auto"/>
        <w:bottom w:val="none" w:sz="0" w:space="0" w:color="auto"/>
        <w:right w:val="none" w:sz="0" w:space="0" w:color="auto"/>
      </w:divBdr>
    </w:div>
    <w:div w:id="112500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22">
      <a:dk1>
        <a:srgbClr val="07373A"/>
      </a:dk1>
      <a:lt1>
        <a:srgbClr val="FFFFFF"/>
      </a:lt1>
      <a:dk2>
        <a:srgbClr val="42C1D1"/>
      </a:dk2>
      <a:lt2>
        <a:srgbClr val="F2F2F2"/>
      </a:lt2>
      <a:accent1>
        <a:srgbClr val="189948"/>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FF3FF-BDC1-4EDB-911F-91B7B6E16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1969</Words>
  <Characters>11603</Characters>
  <Application>Microsoft Office Word</Application>
  <DocSecurity>0</DocSecurity>
  <Lines>580</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Durfee</dc:creator>
  <cp:keywords/>
  <dc:description/>
  <cp:lastModifiedBy>Elizabeth Durfee</cp:lastModifiedBy>
  <cp:revision>60</cp:revision>
  <dcterms:created xsi:type="dcterms:W3CDTF">2022-09-24T17:45:00Z</dcterms:created>
  <dcterms:modified xsi:type="dcterms:W3CDTF">2022-11-07T14:57:00Z</dcterms:modified>
</cp:coreProperties>
</file>